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sectPr>
          <w:type w:val="nextPage"/>
          <w:pgSz w:h="16838" w:w="11906"/>
          <w:pgMar w:bottom="1134" w:footer="0" w:gutter="0" w:header="0" w:left="1701" w:right="567" w:top="1134"/>
          <w:pgNumType w:fmt="decimal"/>
          <w:formProt w:val="false"/>
          <w:textDirection w:val="lrTb"/>
          <w:docGrid w:charSpace="8192" w:linePitch="360" w:type="default"/>
        </w:sectPr>
        <w:pStyle w:val="style0"/>
        <w:ind w:hanging="0" w:left="0" w:right="19"/>
        <w:jc w:val="center"/>
      </w:pPr>
      <w:r>
        <w:rPr>
          <w:rFonts w:ascii="Times New Roman" w:cs="Times New Roman" w:hAnsi="Times New Roman"/>
          <w:sz w:val="24"/>
          <w:szCs w:val="24"/>
        </w:rPr>
        <w:t xml:space="preserve"> </w:t>
      </w:r>
    </w:p>
    <w:p>
      <w:pPr>
        <w:pStyle w:val="style0"/>
        <w:spacing w:after="0" w:before="0"/>
        <w:contextualSpacing w:val="false"/>
        <w:jc w:val="right"/>
      </w:pPr>
      <w:r>
        <w:rPr>
          <w:rFonts w:ascii="Times New Roman" w:cs="Times New Roman" w:hAnsi="Times New Roman"/>
          <w:b/>
          <w:bCs/>
          <w:sz w:val="28"/>
          <w:szCs w:val="28"/>
        </w:rPr>
        <w:t>ЗАТВЕРДЖЕНО</w:t>
      </w:r>
    </w:p>
    <w:p>
      <w:pPr>
        <w:pStyle w:val="style0"/>
        <w:spacing w:after="0" w:before="0"/>
        <w:contextualSpacing w:val="false"/>
        <w:jc w:val="right"/>
      </w:pPr>
      <w:r>
        <w:rPr/>
      </w:r>
    </w:p>
    <w:p>
      <w:pPr>
        <w:pStyle w:val="style0"/>
        <w:spacing w:after="0" w:before="0"/>
        <w:contextualSpacing w:val="false"/>
        <w:jc w:val="right"/>
      </w:pPr>
      <w:r>
        <w:rPr>
          <w:rFonts w:ascii="Times New Roman" w:cs="Times New Roman" w:hAnsi="Times New Roman"/>
          <w:sz w:val="28"/>
          <w:szCs w:val="28"/>
        </w:rPr>
        <w:t>Розпорядження голови Устинівської</w:t>
      </w:r>
    </w:p>
    <w:p>
      <w:pPr>
        <w:pStyle w:val="style0"/>
        <w:spacing w:after="0" w:before="0"/>
        <w:contextualSpacing w:val="false"/>
      </w:pPr>
      <w:r>
        <w:rPr>
          <w:rFonts w:ascii="Times New Roman" w:cs="Times New Roman" w:hAnsi="Times New Roman"/>
          <w:sz w:val="28"/>
          <w:szCs w:val="28"/>
        </w:rPr>
        <w:t xml:space="preserve">                                                                                                                                                          </w:t>
      </w:r>
      <w:r>
        <w:rPr>
          <w:rFonts w:ascii="Times New Roman" w:cs="Times New Roman" w:hAnsi="Times New Roman"/>
          <w:sz w:val="28"/>
          <w:szCs w:val="28"/>
        </w:rPr>
        <w:t xml:space="preserve">районної державної адміністрації </w:t>
      </w:r>
    </w:p>
    <w:p>
      <w:pPr>
        <w:pStyle w:val="style0"/>
        <w:spacing w:after="0" w:before="0"/>
        <w:contextualSpacing w:val="false"/>
        <w:jc w:val="center"/>
      </w:pPr>
      <w:r>
        <w:rPr>
          <w:rFonts w:ascii="Times New Roman" w:cs="Times New Roman" w:hAnsi="Times New Roman"/>
          <w:sz w:val="28"/>
          <w:szCs w:val="28"/>
        </w:rPr>
        <w:t xml:space="preserve">                                                                                                                                                         </w:t>
      </w:r>
      <w:r>
        <w:rPr>
          <w:rFonts w:ascii="Times New Roman" w:cs="Times New Roman" w:hAnsi="Times New Roman"/>
          <w:sz w:val="28"/>
          <w:szCs w:val="28"/>
        </w:rPr>
        <w:t>від «       » квітня 2016 № ______-р</w:t>
      </w:r>
    </w:p>
    <w:p>
      <w:pPr>
        <w:pStyle w:val="style0"/>
        <w:jc w:val="right"/>
      </w:pPr>
      <w:r>
        <w:rPr/>
      </w:r>
    </w:p>
    <w:p>
      <w:pPr>
        <w:pStyle w:val="style0"/>
      </w:pPr>
      <w:r>
        <w:rPr/>
      </w:r>
    </w:p>
    <w:p>
      <w:pPr>
        <w:pStyle w:val="style0"/>
        <w:jc w:val="center"/>
      </w:pPr>
      <w:r>
        <w:rPr>
          <w:rFonts w:ascii="Times New Roman" w:cs="Times New Roman" w:eastAsia="TimesNewRomanPSMT" w:hAnsi="Times New Roman"/>
          <w:b/>
          <w:bCs/>
          <w:caps/>
          <w:sz w:val="28"/>
          <w:szCs w:val="28"/>
        </w:rPr>
        <w:t>план</w:t>
      </w:r>
    </w:p>
    <w:p>
      <w:pPr>
        <w:pStyle w:val="style0"/>
        <w:jc w:val="center"/>
      </w:pPr>
      <w:r>
        <w:rPr>
          <w:rFonts w:ascii="Times New Roman" w:cs="Times New Roman" w:eastAsia="TimesNewRomanPSMT" w:hAnsi="Times New Roman"/>
          <w:b/>
          <w:bCs/>
          <w:sz w:val="28"/>
          <w:szCs w:val="28"/>
        </w:rPr>
        <w:t>першочергових заходів з профілактики травматизму невиробничого характеру</w:t>
      </w:r>
    </w:p>
    <w:p>
      <w:pPr>
        <w:pStyle w:val="style0"/>
        <w:jc w:val="center"/>
      </w:pPr>
      <w:r>
        <w:rPr>
          <w:rFonts w:ascii="Times New Roman" w:cs="Times New Roman" w:eastAsia="TimesNewRomanPSMT" w:hAnsi="Times New Roman"/>
          <w:b/>
          <w:bCs/>
          <w:sz w:val="28"/>
          <w:szCs w:val="28"/>
        </w:rPr>
        <w:t>в Устинівському районі на 2016 рік</w:t>
      </w:r>
    </w:p>
    <w:p>
      <w:pPr>
        <w:pStyle w:val="style0"/>
      </w:pPr>
      <w:r>
        <w:rPr/>
      </w:r>
    </w:p>
    <w:tbl>
      <w:tblPr>
        <w:jc w:val="left"/>
        <w:tblInd w:type="dxa" w:w="-321"/>
        <w:tblBorders>
          <w:top w:color="00000A" w:space="0" w:sz="4" w:val="double"/>
          <w:left w:color="00000A" w:space="0" w:sz="4" w:val="double"/>
          <w:bottom w:color="00000A" w:space="0" w:sz="4" w:val="double"/>
          <w:right w:color="00000A" w:space="0" w:sz="4" w:val="double"/>
        </w:tblBorders>
      </w:tblPr>
      <w:tblGrid>
        <w:gridCol w:w="4916"/>
        <w:gridCol w:w="6359"/>
        <w:gridCol w:w="2687"/>
        <w:gridCol w:w="1996"/>
      </w:tblGrid>
      <w:tr>
        <w:trPr>
          <w:cantSplit w:val="false"/>
        </w:trPr>
        <w:tc>
          <w:tcPr>
            <w:tcW w:type="dxa" w:w="4916"/>
            <w:tcBorders>
              <w:top w:color="00000A" w:space="0" w:sz="4" w:val="double"/>
              <w:left w:color="00000A" w:space="0" w:sz="4" w:val="double"/>
              <w:bottom w:color="00000A" w:space="0" w:sz="4" w:val="double"/>
              <w:right w:color="00000A" w:space="0" w:sz="4" w:val="double"/>
            </w:tcBorders>
            <w:shd w:fill="FFFFFF" w:val="clear"/>
            <w:tcMar>
              <w:top w:type="dxa" w:w="0"/>
              <w:left w:type="dxa" w:w="108"/>
              <w:bottom w:type="dxa" w:w="0"/>
              <w:right w:type="dxa" w:w="108"/>
            </w:tcMar>
            <w:vAlign w:val="center"/>
          </w:tcPr>
          <w:p>
            <w:pPr>
              <w:pStyle w:val="style0"/>
              <w:widowControl/>
              <w:spacing w:after="200" w:before="0" w:line="276" w:lineRule="auto"/>
              <w:contextualSpacing w:val="false"/>
            </w:pPr>
            <w:r>
              <w:rPr>
                <w:rFonts w:ascii="Times New Roman" w:cs="Times New Roman" w:eastAsia="TimesNewRomanPSMT" w:hAnsi="Times New Roman"/>
                <w:b/>
                <w:bCs/>
                <w:sz w:val="28"/>
                <w:szCs w:val="28"/>
              </w:rPr>
              <w:t>Найменування заходу</w:t>
            </w:r>
          </w:p>
        </w:tc>
        <w:tc>
          <w:tcPr>
            <w:tcW w:type="dxa" w:w="6359"/>
            <w:tcBorders>
              <w:top w:color="00000A" w:space="0" w:sz="4" w:val="double"/>
              <w:left w:color="00000A" w:space="0" w:sz="4" w:val="double"/>
              <w:bottom w:color="00000A" w:space="0" w:sz="4" w:val="double"/>
              <w:right w:color="00000A" w:space="0" w:sz="4" w:val="double"/>
            </w:tcBorders>
            <w:shd w:fill="FFFFFF" w:val="clear"/>
            <w:tcMar>
              <w:top w:type="dxa" w:w="0"/>
              <w:left w:type="dxa" w:w="108"/>
              <w:bottom w:type="dxa" w:w="0"/>
              <w:right w:type="dxa" w:w="108"/>
            </w:tcMar>
            <w:vAlign w:val="center"/>
          </w:tcPr>
          <w:p>
            <w:pPr>
              <w:pStyle w:val="style0"/>
              <w:spacing w:after="0" w:before="0"/>
              <w:contextualSpacing w:val="false"/>
            </w:pPr>
            <w:r>
              <w:rPr>
                <w:rFonts w:ascii="Times New Roman" w:cs="Times New Roman" w:eastAsia="TimesNewRomanPSMT" w:hAnsi="Times New Roman"/>
                <w:b/>
                <w:bCs/>
                <w:sz w:val="28"/>
                <w:szCs w:val="28"/>
              </w:rPr>
              <w:t>Відповідальний</w:t>
            </w:r>
          </w:p>
          <w:p>
            <w:pPr>
              <w:pStyle w:val="style0"/>
              <w:spacing w:after="0" w:before="0"/>
              <w:contextualSpacing w:val="false"/>
            </w:pPr>
            <w:r>
              <w:rPr>
                <w:rFonts w:ascii="Times New Roman" w:cs="Times New Roman" w:eastAsia="TimesNewRomanPSMT" w:hAnsi="Times New Roman"/>
                <w:b/>
                <w:bCs/>
                <w:sz w:val="28"/>
                <w:szCs w:val="28"/>
              </w:rPr>
              <w:t>за координацію та організаційне забезпечення</w:t>
            </w:r>
          </w:p>
        </w:tc>
        <w:tc>
          <w:tcPr>
            <w:tcW w:type="dxa" w:w="2687"/>
            <w:tcBorders>
              <w:top w:color="00000A" w:space="0" w:sz="4" w:val="double"/>
              <w:left w:color="00000A" w:space="0" w:sz="4" w:val="double"/>
              <w:bottom w:color="00000A" w:space="0" w:sz="4" w:val="double"/>
              <w:right w:color="00000A" w:space="0" w:sz="4" w:val="double"/>
            </w:tcBorders>
            <w:shd w:fill="FFFFFF" w:val="clear"/>
            <w:tcMar>
              <w:top w:type="dxa" w:w="0"/>
              <w:left w:type="dxa" w:w="108"/>
              <w:bottom w:type="dxa" w:w="0"/>
              <w:right w:type="dxa" w:w="108"/>
            </w:tcMar>
            <w:vAlign w:val="center"/>
          </w:tcPr>
          <w:p>
            <w:pPr>
              <w:pStyle w:val="style0"/>
              <w:widowControl/>
              <w:spacing w:after="200" w:before="0" w:line="276" w:lineRule="auto"/>
              <w:contextualSpacing w:val="false"/>
            </w:pPr>
            <w:r>
              <w:rPr>
                <w:rFonts w:ascii="Times New Roman" w:cs="Times New Roman" w:eastAsia="TimesNewRomanPSMT" w:hAnsi="Times New Roman"/>
                <w:b/>
                <w:bCs/>
                <w:sz w:val="28"/>
                <w:szCs w:val="28"/>
              </w:rPr>
              <w:t>Очікуваний результат</w:t>
            </w:r>
          </w:p>
        </w:tc>
        <w:tc>
          <w:tcPr>
            <w:tcW w:type="dxa" w:w="1996"/>
            <w:tcBorders>
              <w:top w:color="00000A" w:space="0" w:sz="4" w:val="double"/>
              <w:left w:color="00000A" w:space="0" w:sz="4" w:val="double"/>
              <w:bottom w:color="00000A" w:space="0" w:sz="4" w:val="double"/>
              <w:right w:color="00000A" w:space="0" w:sz="4" w:val="double"/>
            </w:tcBorders>
            <w:shd w:fill="FFFFFF" w:val="clear"/>
            <w:tcMar>
              <w:top w:type="dxa" w:w="0"/>
              <w:left w:type="dxa" w:w="108"/>
              <w:bottom w:type="dxa" w:w="0"/>
              <w:right w:type="dxa" w:w="108"/>
            </w:tcMar>
            <w:vAlign w:val="center"/>
          </w:tcPr>
          <w:p>
            <w:pPr>
              <w:pStyle w:val="style0"/>
              <w:widowControl/>
              <w:spacing w:after="200" w:before="0" w:line="276" w:lineRule="auto"/>
              <w:contextualSpacing w:val="false"/>
            </w:pPr>
            <w:r>
              <w:rPr>
                <w:rFonts w:ascii="Times New Roman" w:cs="Times New Roman" w:eastAsia="TimesNewRomanPS-BoldMT" w:hAnsi="Times New Roman"/>
                <w:b/>
                <w:bCs/>
                <w:sz w:val="28"/>
                <w:szCs w:val="28"/>
              </w:rPr>
              <w:t>Термін виконання</w:t>
            </w:r>
          </w:p>
        </w:tc>
      </w:tr>
      <w:tr>
        <w:trPr>
          <w:trHeight w:hRule="atLeast" w:val="361"/>
          <w:cantSplit w:val="false"/>
        </w:trPr>
        <w:tc>
          <w:tcPr>
            <w:tcW w:type="dxa" w:w="4916"/>
            <w:tcBorders>
              <w:top w:color="00000A" w:space="0" w:sz="4" w:val="double"/>
              <w:left w:color="00000A" w:space="0" w:sz="4" w:val="double"/>
              <w:bottom w:color="00000A" w:space="0" w:sz="4" w:val="double"/>
              <w:right w:color="00000A" w:space="0" w:sz="4" w:val="doub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b/>
                <w:bCs/>
                <w:sz w:val="28"/>
                <w:szCs w:val="28"/>
              </w:rPr>
              <w:t>1</w:t>
            </w:r>
          </w:p>
        </w:tc>
        <w:tc>
          <w:tcPr>
            <w:tcW w:type="dxa" w:w="6359"/>
            <w:tcBorders>
              <w:top w:color="00000A" w:space="0" w:sz="4" w:val="double"/>
              <w:left w:color="00000A" w:space="0" w:sz="4" w:val="double"/>
              <w:bottom w:color="00000A" w:space="0" w:sz="4" w:val="double"/>
              <w:right w:color="00000A" w:space="0" w:sz="4" w:val="doub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b/>
                <w:bCs/>
                <w:sz w:val="28"/>
                <w:szCs w:val="28"/>
              </w:rPr>
              <w:t>2</w:t>
            </w:r>
          </w:p>
        </w:tc>
        <w:tc>
          <w:tcPr>
            <w:tcW w:type="dxa" w:w="2687"/>
            <w:tcBorders>
              <w:top w:color="00000A" w:space="0" w:sz="4" w:val="double"/>
              <w:left w:color="00000A" w:space="0" w:sz="4" w:val="double"/>
              <w:bottom w:color="00000A" w:space="0" w:sz="4" w:val="double"/>
              <w:right w:color="00000A" w:space="0" w:sz="4" w:val="doub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b/>
                <w:bCs/>
                <w:sz w:val="28"/>
                <w:szCs w:val="28"/>
              </w:rPr>
              <w:t>3</w:t>
            </w:r>
          </w:p>
        </w:tc>
        <w:tc>
          <w:tcPr>
            <w:tcW w:type="dxa" w:w="1996"/>
            <w:tcBorders>
              <w:top w:color="00000A" w:space="0" w:sz="4" w:val="double"/>
              <w:left w:color="00000A" w:space="0" w:sz="4" w:val="double"/>
              <w:bottom w:color="00000A" w:space="0" w:sz="4" w:val="double"/>
              <w:right w:color="00000A" w:space="0" w:sz="4" w:val="doub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b/>
                <w:bCs/>
                <w:sz w:val="28"/>
                <w:szCs w:val="28"/>
              </w:rPr>
              <w:t>4</w:t>
            </w:r>
          </w:p>
        </w:tc>
      </w:tr>
      <w:tr>
        <w:trPr>
          <w:cantSplit w:val="false"/>
        </w:trPr>
        <w:tc>
          <w:tcPr>
            <w:tcW w:type="dxa" w:w="15958"/>
            <w:gridSpan w:val="4"/>
            <w:tcBorders>
              <w:top w:color="00000A" w:space="0" w:sz="4" w:val="doub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b/>
                <w:bCs/>
                <w:sz w:val="28"/>
                <w:szCs w:val="28"/>
              </w:rPr>
              <w:t>І. Загальні організаційні заходи</w:t>
            </w:r>
          </w:p>
        </w:tc>
      </w:tr>
      <w:tr>
        <w:trPr>
          <w:cantSplit w:val="false"/>
        </w:trPr>
        <w:tc>
          <w:tcPr>
            <w:tcW w:type="dxa" w:w="4916"/>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 xml:space="preserve">Проводити облік та здійснювати аналіз причин нещасних випадків невиробничого характеру </w:t>
            </w:r>
          </w:p>
        </w:tc>
        <w:tc>
          <w:tcPr>
            <w:tcW w:type="dxa" w:w="6359"/>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Управління агропромислового розвитку районної державної адміністрації</w:t>
            </w:r>
          </w:p>
        </w:tc>
        <w:tc>
          <w:tcPr>
            <w:tcW w:type="dxa" w:w="2687"/>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Зниження рівня травматизму невиробничого характеру серед населення району</w:t>
            </w:r>
          </w:p>
        </w:tc>
        <w:tc>
          <w:tcPr>
            <w:tcW w:type="dxa" w:w="1996"/>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pPr>
            <w:r>
              <w:rPr>
                <w:rFonts w:ascii="Times New Roman" w:cs="Times New Roman" w:eastAsia="TimesNewRomanPS-BoldMT" w:hAnsi="Times New Roman"/>
                <w:sz w:val="28"/>
                <w:szCs w:val="28"/>
              </w:rPr>
              <w:t xml:space="preserve">Щокварталу </w:t>
            </w:r>
          </w:p>
          <w:p>
            <w:pPr>
              <w:pStyle w:val="style0"/>
            </w:pPr>
            <w:r>
              <w:rPr/>
            </w:r>
          </w:p>
          <w:p>
            <w:pPr>
              <w:pStyle w:val="style0"/>
              <w:spacing w:after="200" w:before="0"/>
              <w:contextualSpacing w:val="false"/>
            </w:pPr>
            <w:r>
              <w:rPr/>
            </w:r>
          </w:p>
        </w:tc>
      </w:tr>
      <w:tr>
        <w:trPr>
          <w:cantSplit w:val="false"/>
        </w:trPr>
        <w:tc>
          <w:tcPr>
            <w:tcW w:type="dxa" w:w="4916"/>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Забезпечити розгляд питань, пов’язаних з невиробничим травматизмом, на засіданні районної ради з питань безпечної життєдіяльності населення</w:t>
            </w:r>
          </w:p>
        </w:tc>
        <w:tc>
          <w:tcPr>
            <w:tcW w:type="dxa" w:w="6359"/>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Управління агропромислового розвитку районної державної адміністрації</w:t>
            </w:r>
          </w:p>
        </w:tc>
        <w:tc>
          <w:tcPr>
            <w:tcW w:type="dxa" w:w="2687"/>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Зниження рівня травматизму невиробничого характеру серед населення району</w:t>
            </w:r>
          </w:p>
        </w:tc>
        <w:tc>
          <w:tcPr>
            <w:tcW w:type="dxa" w:w="1996"/>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pPr>
            <w:r>
              <w:rPr>
                <w:rFonts w:ascii="Times New Roman" w:cs="Times New Roman" w:eastAsia="TimesNewRomanPS-BoldMT" w:hAnsi="Times New Roman"/>
                <w:sz w:val="28"/>
                <w:szCs w:val="28"/>
              </w:rPr>
              <w:t xml:space="preserve">Щокварталу </w:t>
            </w:r>
          </w:p>
          <w:p>
            <w:pPr>
              <w:pStyle w:val="style0"/>
            </w:pPr>
            <w:r>
              <w:rPr/>
            </w:r>
          </w:p>
          <w:p>
            <w:pPr>
              <w:pStyle w:val="style0"/>
              <w:spacing w:after="200" w:before="0"/>
              <w:contextualSpacing w:val="false"/>
            </w:pPr>
            <w:r>
              <w:rPr/>
            </w:r>
          </w:p>
        </w:tc>
      </w:tr>
      <w:tr>
        <w:trPr>
          <w:cantSplit w:val="false"/>
        </w:trPr>
        <w:tc>
          <w:tcPr>
            <w:tcW w:type="dxa" w:w="15958"/>
            <w:gridSpan w:val="4"/>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b/>
                <w:bCs/>
                <w:sz w:val="28"/>
                <w:szCs w:val="28"/>
              </w:rPr>
              <w:t>ІІ. Заходи щодо попередження загибелі людей на воді</w:t>
            </w:r>
          </w:p>
        </w:tc>
      </w:tr>
      <w:tr>
        <w:trPr>
          <w:cantSplit w:val="false"/>
        </w:trPr>
        <w:tc>
          <w:tcPr>
            <w:tcW w:type="dxa" w:w="4916"/>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Проводити профілактичну роботу серед населення з правил поведінки на воді</w:t>
            </w:r>
          </w:p>
        </w:tc>
        <w:tc>
          <w:tcPr>
            <w:tcW w:type="dxa" w:w="6359"/>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hAnsi="Times New Roman"/>
                <w:sz w:val="28"/>
                <w:szCs w:val="28"/>
              </w:rPr>
              <w:t>Устинівський РС УДСНС України в Кіровоградській області, відділ освіти райдержадміністрації</w:t>
            </w:r>
          </w:p>
        </w:tc>
        <w:tc>
          <w:tcPr>
            <w:tcW w:type="dxa" w:w="2687"/>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Зниження кількості загиблих людей на воді</w:t>
            </w:r>
          </w:p>
        </w:tc>
        <w:tc>
          <w:tcPr>
            <w:tcW w:type="dxa" w:w="1996"/>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hAnsi="Times New Roman"/>
                <w:sz w:val="28"/>
                <w:szCs w:val="28"/>
              </w:rPr>
              <w:t>Протягом року</w:t>
            </w:r>
          </w:p>
        </w:tc>
      </w:tr>
      <w:tr>
        <w:trPr>
          <w:cantSplit w:val="false"/>
        </w:trPr>
        <w:tc>
          <w:tcPr>
            <w:tcW w:type="dxa" w:w="4916"/>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Забезпечити безпечне облаштування місць масового відпочинку на водних об’єктах</w:t>
            </w:r>
          </w:p>
        </w:tc>
        <w:tc>
          <w:tcPr>
            <w:tcW w:type="dxa" w:w="6359"/>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Орендарі земе</w:t>
            </w:r>
            <w:r>
              <w:rPr>
                <w:rFonts w:ascii="Times New Roman" w:cs="Times New Roman" w:hAnsi="Times New Roman"/>
                <w:sz w:val="28"/>
                <w:szCs w:val="28"/>
              </w:rPr>
              <w:t>льних ділянок з прилеглим водним простором, призначених для організованого відпочинку населення на прибережних захисних смугах водних об'єктів, та водні об'єкти, на яких розташовані засоби розваг і атракціони, а також місця для занять водними видами спорту та місця любительського і спортивного рибальства у зимовий період</w:t>
            </w:r>
          </w:p>
        </w:tc>
        <w:tc>
          <w:tcPr>
            <w:tcW w:type="dxa" w:w="2687"/>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Зниження кількості загиблих людей на водних об’єктах</w:t>
            </w:r>
          </w:p>
        </w:tc>
        <w:tc>
          <w:tcPr>
            <w:tcW w:type="dxa" w:w="1996"/>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Протягом року</w:t>
            </w:r>
          </w:p>
        </w:tc>
      </w:tr>
    </w:tbl>
    <w:p>
      <w:pPr>
        <w:pStyle w:val="style0"/>
      </w:pPr>
      <w:r>
        <w:rPr>
          <w:rFonts w:ascii="Times New Roman" w:cs="Times New Roman" w:hAnsi="Times New Roman"/>
          <w:sz w:val="28"/>
          <w:szCs w:val="28"/>
        </w:rPr>
        <w:t>2</w:t>
      </w:r>
    </w:p>
    <w:p>
      <w:pPr>
        <w:pStyle w:val="style0"/>
      </w:pPr>
      <w:r>
        <w:rPr/>
      </w:r>
    </w:p>
    <w:p>
      <w:pPr>
        <w:pStyle w:val="style0"/>
      </w:pPr>
      <w:r>
        <w:rPr/>
      </w:r>
    </w:p>
    <w:p>
      <w:pPr>
        <w:pStyle w:val="style0"/>
      </w:pPr>
      <w:r>
        <w:rPr/>
      </w:r>
    </w:p>
    <w:tbl>
      <w:tblPr>
        <w:jc w:val="left"/>
        <w:tblInd w:type="dxa" w:w="-321"/>
        <w:tblBorders>
          <w:top w:color="00000A" w:space="0" w:sz="4" w:val="double"/>
          <w:left w:color="00000A" w:space="0" w:sz="4" w:val="double"/>
          <w:bottom w:color="00000A" w:space="0" w:sz="4" w:val="double"/>
          <w:right w:color="00000A" w:space="0" w:sz="4" w:val="double"/>
        </w:tblBorders>
      </w:tblPr>
      <w:tblGrid>
        <w:gridCol w:w="4917"/>
        <w:gridCol w:w="6358"/>
        <w:gridCol w:w="2868"/>
        <w:gridCol w:w="1816"/>
      </w:tblGrid>
      <w:tr>
        <w:trPr>
          <w:cantSplit w:val="false"/>
        </w:trPr>
        <w:tc>
          <w:tcPr>
            <w:tcW w:type="dxa" w:w="4917"/>
            <w:tcBorders>
              <w:top w:color="00000A" w:space="0" w:sz="4" w:val="double"/>
              <w:left w:color="00000A" w:space="0" w:sz="4" w:val="double"/>
              <w:bottom w:color="00000A" w:space="0" w:sz="4" w:val="double"/>
              <w:right w:color="00000A" w:space="0" w:sz="4" w:val="doub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b/>
                <w:bCs/>
                <w:sz w:val="28"/>
                <w:szCs w:val="28"/>
              </w:rPr>
              <w:t>1</w:t>
            </w:r>
          </w:p>
        </w:tc>
        <w:tc>
          <w:tcPr>
            <w:tcW w:type="dxa" w:w="6358"/>
            <w:tcBorders>
              <w:top w:color="00000A" w:space="0" w:sz="4" w:val="double"/>
              <w:left w:color="00000A" w:space="0" w:sz="4" w:val="double"/>
              <w:bottom w:color="00000A" w:space="0" w:sz="4" w:val="double"/>
              <w:right w:color="00000A" w:space="0" w:sz="4" w:val="doub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b/>
                <w:bCs/>
                <w:sz w:val="28"/>
                <w:szCs w:val="28"/>
              </w:rPr>
              <w:t>2</w:t>
            </w:r>
          </w:p>
        </w:tc>
        <w:tc>
          <w:tcPr>
            <w:tcW w:type="dxa" w:w="2868"/>
            <w:tcBorders>
              <w:top w:color="00000A" w:space="0" w:sz="4" w:val="double"/>
              <w:left w:color="00000A" w:space="0" w:sz="4" w:val="double"/>
              <w:bottom w:color="00000A" w:space="0" w:sz="4" w:val="double"/>
              <w:right w:color="00000A" w:space="0" w:sz="4" w:val="doub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b/>
                <w:bCs/>
                <w:sz w:val="28"/>
                <w:szCs w:val="28"/>
              </w:rPr>
              <w:t>3</w:t>
            </w:r>
          </w:p>
        </w:tc>
        <w:tc>
          <w:tcPr>
            <w:tcW w:type="dxa" w:w="1816"/>
            <w:tcBorders>
              <w:top w:color="00000A" w:space="0" w:sz="4" w:val="double"/>
              <w:left w:color="00000A" w:space="0" w:sz="4" w:val="double"/>
              <w:bottom w:color="00000A" w:space="0" w:sz="4" w:val="double"/>
              <w:right w:color="00000A" w:space="0" w:sz="4" w:val="doub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b/>
                <w:bCs/>
                <w:sz w:val="28"/>
                <w:szCs w:val="28"/>
              </w:rPr>
              <w:t>4</w:t>
            </w:r>
          </w:p>
        </w:tc>
      </w:tr>
      <w:tr>
        <w:trPr>
          <w:cantSplit w:val="false"/>
        </w:trPr>
        <w:tc>
          <w:tcPr>
            <w:tcW w:type="dxa" w:w="4917"/>
            <w:tcBorders>
              <w:top w:color="00000A" w:space="0" w:sz="4" w:val="doub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hAnsi="Times New Roman"/>
                <w:sz w:val="28"/>
                <w:szCs w:val="28"/>
              </w:rPr>
              <w:t>Розміщувати в місцях з масовим перебуванням людей наочні матеріали застерігаючого характеру про дотримання громадянами правил поведінки на воді (стенди, плакати «Учись плавати», «Способи рятування», поради відпочиваючим щодо порядку купання, прийомів саморятування та надання першої невідкладної медичної допомоги потерпілим, щит з написами "Купатися заборонено!" у місцях, заборонених для купання, позначення небезпечних місць на акваторії віхами або буями з написом "Небезпечно!")</w:t>
            </w:r>
          </w:p>
        </w:tc>
        <w:tc>
          <w:tcPr>
            <w:tcW w:type="dxa" w:w="6358"/>
            <w:tcBorders>
              <w:top w:color="00000A" w:space="0" w:sz="4" w:val="doub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hAnsi="Times New Roman"/>
                <w:sz w:val="28"/>
                <w:szCs w:val="28"/>
              </w:rPr>
              <w:t>Устинівський РС УДСНС України в Кіровоградській області, органи місцевого самоврядування</w:t>
            </w:r>
          </w:p>
        </w:tc>
        <w:tc>
          <w:tcPr>
            <w:tcW w:type="dxa" w:w="2868"/>
            <w:tcBorders>
              <w:top w:color="00000A" w:space="0" w:sz="4" w:val="doub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hAnsi="Times New Roman"/>
                <w:sz w:val="28"/>
                <w:szCs w:val="28"/>
              </w:rPr>
              <w:t>Формування у людей відповідального ставлення до власної безпеки на воді та безпеки оточуючих, запобігання виникненню нещасних випадків на воді</w:t>
            </w:r>
          </w:p>
        </w:tc>
        <w:tc>
          <w:tcPr>
            <w:tcW w:type="dxa" w:w="1816"/>
            <w:tcBorders>
              <w:top w:color="00000A" w:space="0" w:sz="4" w:val="doub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hAnsi="Times New Roman"/>
                <w:sz w:val="28"/>
                <w:szCs w:val="28"/>
              </w:rPr>
              <w:t>До початку купального сезону</w:t>
            </w:r>
          </w:p>
        </w:tc>
      </w:tr>
      <w:tr>
        <w:trPr>
          <w:cantSplit w:val="false"/>
        </w:trPr>
        <w:tc>
          <w:tcPr>
            <w:tcW w:type="dxa" w:w="4917"/>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hAnsi="Times New Roman"/>
                <w:sz w:val="28"/>
                <w:szCs w:val="28"/>
              </w:rPr>
              <w:t>На засіданнях комісій з питань ТЕБ та НС провести аналіз загибелі людей на воді у 2015 році і визначити заходи щодо попередження загибелі людей на водних об’єктах, розташованих на території району</w:t>
            </w:r>
          </w:p>
        </w:tc>
        <w:tc>
          <w:tcPr>
            <w:tcW w:type="dxa" w:w="6358"/>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hAnsi="Times New Roman"/>
                <w:sz w:val="28"/>
                <w:szCs w:val="28"/>
              </w:rPr>
              <w:t>Районна комісія з питань ТЕБ та НС</w:t>
            </w:r>
          </w:p>
        </w:tc>
        <w:tc>
          <w:tcPr>
            <w:tcW w:type="dxa" w:w="2868"/>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Зниження кількості загиблих людей на воді</w:t>
            </w:r>
          </w:p>
        </w:tc>
        <w:tc>
          <w:tcPr>
            <w:tcW w:type="dxa" w:w="1816"/>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hAnsi="Times New Roman"/>
                <w:sz w:val="28"/>
                <w:szCs w:val="28"/>
              </w:rPr>
              <w:t xml:space="preserve"> </w:t>
            </w:r>
            <w:r>
              <w:rPr>
                <w:rFonts w:ascii="Times New Roman" w:cs="Times New Roman" w:hAnsi="Times New Roman"/>
                <w:sz w:val="28"/>
                <w:szCs w:val="28"/>
              </w:rPr>
              <w:t>Щокварталу</w:t>
            </w:r>
          </w:p>
        </w:tc>
      </w:tr>
      <w:tr>
        <w:trPr>
          <w:cantSplit w:val="false"/>
        </w:trPr>
        <w:tc>
          <w:tcPr>
            <w:tcW w:type="dxa" w:w="15959"/>
            <w:gridSpan w:val="4"/>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b/>
                <w:bCs/>
                <w:sz w:val="28"/>
                <w:szCs w:val="28"/>
              </w:rPr>
              <w:t>ІІІ. Заходи щодо попередження травматизму на транспорті</w:t>
            </w:r>
          </w:p>
        </w:tc>
      </w:tr>
      <w:tr>
        <w:trPr>
          <w:cantSplit w:val="false"/>
        </w:trPr>
        <w:tc>
          <w:tcPr>
            <w:tcW w:type="dxa" w:w="4917"/>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Забезпечити дотримання порядку організації перевезення дітей у сільській місцевості відповідно до програми «Шкільний автобус»</w:t>
            </w:r>
          </w:p>
        </w:tc>
        <w:tc>
          <w:tcPr>
            <w:tcW w:type="dxa" w:w="6358"/>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Відділ освіти райдержадміністрації</w:t>
            </w:r>
          </w:p>
        </w:tc>
        <w:tc>
          <w:tcPr>
            <w:tcW w:type="dxa" w:w="2868"/>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Зниження рівня травматизму на транспорті</w:t>
            </w:r>
          </w:p>
        </w:tc>
        <w:tc>
          <w:tcPr>
            <w:tcW w:type="dxa" w:w="1816"/>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Протягом року</w:t>
            </w:r>
          </w:p>
        </w:tc>
      </w:tr>
      <w:tr>
        <w:trPr>
          <w:cantSplit w:val="false"/>
        </w:trPr>
        <w:tc>
          <w:tcPr>
            <w:tcW w:type="dxa" w:w="4917"/>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pPr>
            <w:r>
              <w:rPr>
                <w:rFonts w:ascii="Times New Roman" w:cs="Times New Roman" w:eastAsia="TimesNewRomanPS-BoldMT" w:hAnsi="Times New Roman"/>
                <w:sz w:val="28"/>
                <w:szCs w:val="28"/>
              </w:rPr>
              <w:t>Вжити заходи щодо облаштування вулиць населених пунктів засобами примусового зниження швидкості (у першу чергу біля навчальних закладів), нанесення дорожньої розмітки та встановлення дорожніх знаків з використанням сучасних світлоповертаючих матеріалів на автошляхах загального користування місцевого значення</w:t>
            </w:r>
          </w:p>
          <w:p>
            <w:pPr>
              <w:pStyle w:val="style0"/>
              <w:spacing w:after="200" w:before="0"/>
              <w:contextualSpacing w:val="false"/>
            </w:pPr>
            <w:r>
              <w:rPr/>
            </w:r>
          </w:p>
        </w:tc>
        <w:tc>
          <w:tcPr>
            <w:tcW w:type="dxa" w:w="6358"/>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hAnsi="Times New Roman"/>
                <w:sz w:val="28"/>
                <w:szCs w:val="28"/>
              </w:rPr>
              <w:t xml:space="preserve">Філія «Устинівський райавтодор»                         ДП «Кіровоградський облавтодор» </w:t>
            </w:r>
          </w:p>
        </w:tc>
        <w:tc>
          <w:tcPr>
            <w:tcW w:type="dxa" w:w="2868"/>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Зниження рівня травматизму на транспорті</w:t>
            </w:r>
          </w:p>
        </w:tc>
        <w:tc>
          <w:tcPr>
            <w:tcW w:type="dxa" w:w="1816"/>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Протягом року</w:t>
            </w:r>
          </w:p>
        </w:tc>
      </w:tr>
    </w:tbl>
    <w:p>
      <w:pPr>
        <w:pStyle w:val="style0"/>
      </w:pPr>
      <w:r>
        <w:rPr>
          <w:rFonts w:ascii="Times New Roman" w:cs="Times New Roman" w:hAnsi="Times New Roman"/>
          <w:sz w:val="28"/>
          <w:szCs w:val="28"/>
        </w:rPr>
        <w:t>3</w:t>
      </w:r>
    </w:p>
    <w:p>
      <w:pPr>
        <w:pStyle w:val="style0"/>
      </w:pPr>
      <w:r>
        <w:rPr/>
      </w:r>
    </w:p>
    <w:tbl>
      <w:tblPr>
        <w:jc w:val="left"/>
        <w:tblInd w:type="dxa" w:w="-321"/>
        <w:tblBorders>
          <w:top w:color="00000A" w:space="0" w:sz="4" w:val="double"/>
          <w:left w:color="00000A" w:space="0" w:sz="4" w:val="double"/>
          <w:bottom w:color="00000A" w:space="0" w:sz="4" w:val="double"/>
          <w:right w:color="00000A" w:space="0" w:sz="4" w:val="double"/>
        </w:tblBorders>
      </w:tblPr>
      <w:tblGrid>
        <w:gridCol w:w="4917"/>
        <w:gridCol w:w="6358"/>
        <w:gridCol w:w="3240"/>
        <w:gridCol w:w="1444"/>
      </w:tblGrid>
      <w:tr>
        <w:trPr>
          <w:cantSplit w:val="false"/>
        </w:trPr>
        <w:tc>
          <w:tcPr>
            <w:tcW w:type="dxa" w:w="4917"/>
            <w:tcBorders>
              <w:top w:color="00000A" w:space="0" w:sz="4" w:val="double"/>
              <w:left w:color="00000A" w:space="0" w:sz="4" w:val="double"/>
              <w:bottom w:color="00000A" w:space="0" w:sz="4" w:val="double"/>
              <w:right w:color="00000A" w:space="0" w:sz="4" w:val="doub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b/>
                <w:bCs/>
                <w:sz w:val="28"/>
                <w:szCs w:val="28"/>
              </w:rPr>
              <w:t>1</w:t>
            </w:r>
          </w:p>
        </w:tc>
        <w:tc>
          <w:tcPr>
            <w:tcW w:type="dxa" w:w="6358"/>
            <w:tcBorders>
              <w:top w:color="00000A" w:space="0" w:sz="4" w:val="double"/>
              <w:left w:color="00000A" w:space="0" w:sz="4" w:val="double"/>
              <w:bottom w:color="00000A" w:space="0" w:sz="4" w:val="double"/>
              <w:right w:color="00000A" w:space="0" w:sz="4" w:val="doub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hAnsi="Times New Roman"/>
                <w:b/>
                <w:bCs/>
                <w:sz w:val="28"/>
                <w:szCs w:val="28"/>
              </w:rPr>
              <w:t>2</w:t>
            </w:r>
          </w:p>
        </w:tc>
        <w:tc>
          <w:tcPr>
            <w:tcW w:type="dxa" w:w="3240"/>
            <w:tcBorders>
              <w:top w:color="00000A" w:space="0" w:sz="4" w:val="double"/>
              <w:left w:color="00000A" w:space="0" w:sz="4" w:val="double"/>
              <w:bottom w:color="00000A" w:space="0" w:sz="4" w:val="double"/>
              <w:right w:color="00000A" w:space="0" w:sz="4" w:val="doub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b/>
                <w:bCs/>
                <w:sz w:val="28"/>
                <w:szCs w:val="28"/>
              </w:rPr>
              <w:t>3</w:t>
            </w:r>
          </w:p>
        </w:tc>
        <w:tc>
          <w:tcPr>
            <w:tcW w:type="dxa" w:w="1444"/>
            <w:tcBorders>
              <w:top w:color="00000A" w:space="0" w:sz="4" w:val="double"/>
              <w:left w:color="00000A" w:space="0" w:sz="4" w:val="double"/>
              <w:bottom w:color="00000A" w:space="0" w:sz="4" w:val="double"/>
              <w:right w:color="00000A" w:space="0" w:sz="4" w:val="doub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b/>
                <w:bCs/>
                <w:sz w:val="28"/>
                <w:szCs w:val="28"/>
              </w:rPr>
              <w:t>4</w:t>
            </w:r>
          </w:p>
        </w:tc>
      </w:tr>
      <w:tr>
        <w:trPr>
          <w:cantSplit w:val="false"/>
        </w:trPr>
        <w:tc>
          <w:tcPr>
            <w:tcW w:type="dxa" w:w="4917"/>
            <w:tcBorders>
              <w:top w:color="00000A" w:space="0" w:sz="4" w:val="doub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Висвітлювати через засоби масової інформації актуальні питання щодо забезпечення безпеки дорожнього руху, матеріалів роз’яснювального та виховного характеру, проведення виступів, уроків в навчальних закладах</w:t>
            </w:r>
          </w:p>
        </w:tc>
        <w:tc>
          <w:tcPr>
            <w:tcW w:type="dxa" w:w="6358"/>
            <w:tcBorders>
              <w:top w:color="00000A" w:space="0" w:sz="4" w:val="doub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hAnsi="Times New Roman"/>
                <w:sz w:val="28"/>
                <w:szCs w:val="28"/>
              </w:rPr>
              <w:t>Устинівський ВП Бобринецького ВП</w:t>
            </w:r>
          </w:p>
        </w:tc>
        <w:tc>
          <w:tcPr>
            <w:tcW w:type="dxa" w:w="3240"/>
            <w:tcBorders>
              <w:top w:color="00000A" w:space="0" w:sz="4" w:val="doub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Зниження рівня травматизму на транспорті</w:t>
            </w:r>
          </w:p>
        </w:tc>
        <w:tc>
          <w:tcPr>
            <w:tcW w:type="dxa" w:w="1444"/>
            <w:tcBorders>
              <w:top w:color="00000A" w:space="0" w:sz="4" w:val="doub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Протягом року</w:t>
            </w:r>
          </w:p>
        </w:tc>
      </w:tr>
      <w:tr>
        <w:trPr>
          <w:cantSplit w:val="false"/>
        </w:trPr>
        <w:tc>
          <w:tcPr>
            <w:tcW w:type="dxa" w:w="15959"/>
            <w:gridSpan w:val="4"/>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b/>
                <w:bCs/>
                <w:sz w:val="28"/>
                <w:szCs w:val="28"/>
              </w:rPr>
              <w:t>І</w:t>
            </w:r>
            <w:r>
              <w:rPr>
                <w:rFonts w:ascii="Times New Roman" w:cs="Times New Roman" w:eastAsia="TimesNewRomanPS-BoldMT" w:hAnsi="Times New Roman"/>
                <w:b/>
                <w:bCs/>
                <w:sz w:val="28"/>
                <w:szCs w:val="28"/>
                <w:lang w:val="en-US"/>
              </w:rPr>
              <w:t>V</w:t>
            </w:r>
            <w:r>
              <w:rPr>
                <w:rFonts w:ascii="Times New Roman" w:cs="Times New Roman" w:eastAsia="TimesNewRomanPS-BoldMT" w:hAnsi="Times New Roman"/>
                <w:b/>
                <w:bCs/>
                <w:sz w:val="28"/>
                <w:szCs w:val="28"/>
              </w:rPr>
              <w:t>. Заходи щодо попередження загибелі людей від еклектичного струму</w:t>
            </w:r>
          </w:p>
        </w:tc>
      </w:tr>
      <w:tr>
        <w:trPr>
          <w:cantSplit w:val="false"/>
        </w:trPr>
        <w:tc>
          <w:tcPr>
            <w:tcW w:type="dxa" w:w="4917"/>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Проводити роз’яснювальну роботу серед населення щодо запобігання нещасним випадкам від ураження електричним струмом</w:t>
            </w:r>
          </w:p>
        </w:tc>
        <w:tc>
          <w:tcPr>
            <w:tcW w:type="dxa" w:w="6358"/>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Устинівський РЕМ ПАТ «Кіровоградобленерго», відділ освіти</w:t>
            </w:r>
          </w:p>
        </w:tc>
        <w:tc>
          <w:tcPr>
            <w:tcW w:type="dxa" w:w="3240"/>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Збереження життя та здоров’я громадян</w:t>
            </w:r>
          </w:p>
        </w:tc>
        <w:tc>
          <w:tcPr>
            <w:tcW w:type="dxa" w:w="1444"/>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pPr>
            <w:r>
              <w:rPr>
                <w:rFonts w:ascii="Times New Roman" w:cs="Times New Roman" w:eastAsia="TimesNewRomanPS-BoldMT" w:hAnsi="Times New Roman"/>
                <w:sz w:val="28"/>
                <w:szCs w:val="28"/>
              </w:rPr>
              <w:t>Протягом року</w:t>
            </w:r>
          </w:p>
          <w:p>
            <w:pPr>
              <w:pStyle w:val="style0"/>
              <w:spacing w:after="200" w:before="0"/>
              <w:contextualSpacing w:val="false"/>
            </w:pPr>
            <w:r>
              <w:rPr/>
            </w:r>
          </w:p>
        </w:tc>
      </w:tr>
      <w:tr>
        <w:trPr>
          <w:cantSplit w:val="false"/>
        </w:trPr>
        <w:tc>
          <w:tcPr>
            <w:tcW w:type="dxa" w:w="15959"/>
            <w:gridSpan w:val="4"/>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b/>
                <w:bCs/>
                <w:sz w:val="28"/>
                <w:szCs w:val="28"/>
                <w:lang w:val="en-US"/>
              </w:rPr>
              <w:t>V</w:t>
            </w:r>
            <w:r>
              <w:rPr>
                <w:rFonts w:ascii="Times New Roman" w:cs="Times New Roman" w:eastAsia="TimesNewRomanPS-BoldMT" w:hAnsi="Times New Roman"/>
                <w:b/>
                <w:bCs/>
                <w:sz w:val="28"/>
                <w:szCs w:val="28"/>
              </w:rPr>
              <w:t>. Заходи щодо попередження загибелі людей від випадкових отруєнь алкоголем та іншими отруйними речовинами</w:t>
            </w:r>
          </w:p>
        </w:tc>
      </w:tr>
      <w:tr>
        <w:trPr>
          <w:cantSplit w:val="false"/>
        </w:trPr>
        <w:tc>
          <w:tcPr>
            <w:tcW w:type="dxa" w:w="4917"/>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Організувати проведення серед населення та школярів району санітарно-просвітницьку роботу щодо дотримання здорового способу життя, негативного ставлення до паління, до вживання алкоголю та наркотиків</w:t>
            </w:r>
          </w:p>
        </w:tc>
        <w:tc>
          <w:tcPr>
            <w:tcW w:type="dxa" w:w="6358"/>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Відділ освіти райдержадміністрації, Устинівська центральна районна лікарня</w:t>
            </w:r>
            <w:r>
              <w:rPr>
                <w:rFonts w:ascii="Times New Roman" w:cs="Times New Roman" w:hAnsi="Times New Roman"/>
                <w:sz w:val="28"/>
                <w:szCs w:val="28"/>
              </w:rPr>
              <w:t>, відділ молоді та спорту райдержадміністрації, районний центр соціальних служб для сім’ї, дітей та молоді</w:t>
            </w:r>
            <w:r>
              <w:rPr>
                <w:rFonts w:ascii="Times New Roman" w:cs="Times New Roman" w:eastAsia="TimesNewRomanPS-BoldMT" w:hAnsi="Times New Roman"/>
                <w:sz w:val="28"/>
                <w:szCs w:val="28"/>
              </w:rPr>
              <w:t xml:space="preserve"> </w:t>
            </w:r>
          </w:p>
        </w:tc>
        <w:tc>
          <w:tcPr>
            <w:tcW w:type="dxa" w:w="3240"/>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hAnsi="Times New Roman"/>
                <w:sz w:val="28"/>
                <w:szCs w:val="28"/>
              </w:rPr>
              <w:t>Недопущення вживання  мешканцями району наркотичних засобів</w:t>
            </w:r>
          </w:p>
        </w:tc>
        <w:tc>
          <w:tcPr>
            <w:tcW w:type="dxa" w:w="1444"/>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Протягом року</w:t>
            </w:r>
          </w:p>
        </w:tc>
      </w:tr>
      <w:tr>
        <w:trPr>
          <w:cantSplit w:val="false"/>
        </w:trPr>
        <w:tc>
          <w:tcPr>
            <w:tcW w:type="dxa" w:w="15959"/>
            <w:gridSpan w:val="4"/>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vAlign w:val="center"/>
          </w:tcPr>
          <w:p>
            <w:pPr>
              <w:pStyle w:val="style0"/>
              <w:widowControl/>
              <w:spacing w:after="200" w:before="0" w:line="276" w:lineRule="auto"/>
              <w:contextualSpacing w:val="false"/>
            </w:pPr>
            <w:r>
              <w:rPr>
                <w:rFonts w:ascii="Times New Roman" w:cs="Times New Roman" w:eastAsia="TimesNewRomanPS-BoldMT" w:hAnsi="Times New Roman"/>
                <w:b/>
                <w:bCs/>
                <w:sz w:val="28"/>
                <w:szCs w:val="28"/>
                <w:lang w:val="en-US"/>
              </w:rPr>
              <w:t>V</w:t>
            </w:r>
            <w:r>
              <w:rPr>
                <w:rFonts w:ascii="Times New Roman" w:cs="Times New Roman" w:eastAsia="TimesNewRomanPS-BoldMT" w:hAnsi="Times New Roman"/>
                <w:b/>
                <w:bCs/>
                <w:sz w:val="28"/>
                <w:szCs w:val="28"/>
              </w:rPr>
              <w:t>І. Заходи щодо попередження убивств, самогубств та сомоушкоджень</w:t>
            </w:r>
          </w:p>
        </w:tc>
      </w:tr>
      <w:tr>
        <w:trPr>
          <w:cantSplit w:val="false"/>
        </w:trPr>
        <w:tc>
          <w:tcPr>
            <w:tcW w:type="dxa" w:w="4917"/>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Проводити профілактичну роботу з попередження самоушкоджень серед дітей та молоді з розглядом питань профілактики травматизму невиробничого характеру на батьківських зборах</w:t>
            </w:r>
          </w:p>
        </w:tc>
        <w:tc>
          <w:tcPr>
            <w:tcW w:type="dxa" w:w="6358"/>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Відділ освіти, відділ молоді та спорту райдержад-міністрації, районний центр соціальних служб для сім’ї, дітей та молоді, Устинівська центральна районна лікарня</w:t>
            </w:r>
          </w:p>
        </w:tc>
        <w:tc>
          <w:tcPr>
            <w:tcW w:type="dxa" w:w="3240"/>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Збереження життя та здоров’я молоді та дітей</w:t>
            </w:r>
          </w:p>
        </w:tc>
        <w:tc>
          <w:tcPr>
            <w:tcW w:type="dxa" w:w="1444"/>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Протягом року</w:t>
            </w:r>
          </w:p>
        </w:tc>
      </w:tr>
      <w:tr>
        <w:trPr>
          <w:cantSplit w:val="false"/>
        </w:trPr>
        <w:tc>
          <w:tcPr>
            <w:tcW w:type="dxa" w:w="15959"/>
            <w:gridSpan w:val="4"/>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b/>
                <w:bCs/>
                <w:sz w:val="28"/>
                <w:szCs w:val="28"/>
                <w:lang w:val="en-US"/>
              </w:rPr>
              <w:t>V</w:t>
            </w:r>
            <w:r>
              <w:rPr>
                <w:rFonts w:ascii="Times New Roman" w:cs="Times New Roman" w:eastAsia="TimesNewRomanPS-BoldMT" w:hAnsi="Times New Roman"/>
                <w:b/>
                <w:bCs/>
                <w:sz w:val="28"/>
                <w:szCs w:val="28"/>
              </w:rPr>
              <w:t>ІІ. Заходи щодо попередження загибелі людей від пожеж та інших джерел вогню</w:t>
            </w:r>
          </w:p>
        </w:tc>
      </w:tr>
      <w:tr>
        <w:trPr>
          <w:cantSplit w:val="false"/>
        </w:trPr>
        <w:tc>
          <w:tcPr>
            <w:tcW w:type="dxa" w:w="4917"/>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pPr>
            <w:r>
              <w:rPr>
                <w:rFonts w:ascii="Times New Roman" w:cs="Times New Roman" w:eastAsia="TimesNewRomanPS-BoldMT" w:hAnsi="Times New Roman"/>
                <w:sz w:val="28"/>
                <w:szCs w:val="28"/>
              </w:rPr>
              <w:t>Сприяти підготовці та розміщенню в засобах масової інформації (в газетах, на радіо, телебаченні, в інтернеті) матеріалів щодо запобігання виникненню пожеж та загибелі людей на них</w:t>
            </w:r>
          </w:p>
          <w:p>
            <w:pPr>
              <w:pStyle w:val="style0"/>
              <w:spacing w:after="200" w:before="0"/>
              <w:contextualSpacing w:val="false"/>
            </w:pPr>
            <w:r>
              <w:rPr/>
            </w:r>
          </w:p>
        </w:tc>
        <w:tc>
          <w:tcPr>
            <w:tcW w:type="dxa" w:w="6358"/>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Устинівський РС УДСНС України в Кіровоградській області</w:t>
            </w:r>
          </w:p>
        </w:tc>
        <w:tc>
          <w:tcPr>
            <w:tcW w:type="dxa" w:w="3240"/>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Зменшення кількості пожеж та загибелі людей на них</w:t>
            </w:r>
          </w:p>
        </w:tc>
        <w:tc>
          <w:tcPr>
            <w:tcW w:type="dxa" w:w="1444"/>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Протягом року</w:t>
            </w:r>
          </w:p>
        </w:tc>
      </w:tr>
    </w:tbl>
    <w:p>
      <w:pPr>
        <w:pStyle w:val="style0"/>
      </w:pPr>
      <w:r>
        <w:rPr>
          <w:rFonts w:ascii="Times New Roman" w:cs="Times New Roman" w:hAnsi="Times New Roman"/>
          <w:sz w:val="28"/>
          <w:szCs w:val="28"/>
        </w:rPr>
        <w:t>4</w:t>
      </w:r>
    </w:p>
    <w:p>
      <w:pPr>
        <w:pStyle w:val="style0"/>
      </w:pPr>
      <w:r>
        <w:rPr/>
      </w:r>
    </w:p>
    <w:tbl>
      <w:tblPr>
        <w:jc w:val="left"/>
        <w:tblInd w:type="dxa" w:w="-321"/>
        <w:tblBorders>
          <w:top w:color="00000A" w:space="0" w:sz="4" w:val="double"/>
          <w:left w:color="00000A" w:space="0" w:sz="4" w:val="double"/>
          <w:bottom w:color="00000A" w:space="0" w:sz="4" w:val="double"/>
          <w:right w:color="00000A" w:space="0" w:sz="4" w:val="double"/>
        </w:tblBorders>
      </w:tblPr>
      <w:tblGrid>
        <w:gridCol w:w="4917"/>
        <w:gridCol w:w="6358"/>
        <w:gridCol w:w="3240"/>
        <w:gridCol w:w="1444"/>
      </w:tblGrid>
      <w:tr>
        <w:trPr>
          <w:cantSplit w:val="false"/>
        </w:trPr>
        <w:tc>
          <w:tcPr>
            <w:tcW w:type="dxa" w:w="4917"/>
            <w:tcBorders>
              <w:top w:color="00000A" w:space="0" w:sz="4" w:val="double"/>
              <w:left w:color="00000A" w:space="0" w:sz="4" w:val="double"/>
              <w:bottom w:color="00000A" w:space="0" w:sz="4" w:val="double"/>
              <w:right w:color="00000A" w:space="0" w:sz="4" w:val="doub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b/>
                <w:bCs/>
                <w:sz w:val="28"/>
                <w:szCs w:val="28"/>
              </w:rPr>
              <w:t>1</w:t>
            </w:r>
          </w:p>
        </w:tc>
        <w:tc>
          <w:tcPr>
            <w:tcW w:type="dxa" w:w="6358"/>
            <w:tcBorders>
              <w:top w:color="00000A" w:space="0" w:sz="4" w:val="double"/>
              <w:left w:color="00000A" w:space="0" w:sz="4" w:val="double"/>
              <w:bottom w:color="00000A" w:space="0" w:sz="4" w:val="double"/>
              <w:right w:color="00000A" w:space="0" w:sz="4" w:val="doub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b/>
                <w:bCs/>
                <w:sz w:val="28"/>
                <w:szCs w:val="28"/>
              </w:rPr>
              <w:t>2</w:t>
            </w:r>
          </w:p>
        </w:tc>
        <w:tc>
          <w:tcPr>
            <w:tcW w:type="dxa" w:w="3240"/>
            <w:tcBorders>
              <w:top w:color="00000A" w:space="0" w:sz="4" w:val="double"/>
              <w:left w:color="00000A" w:space="0" w:sz="4" w:val="double"/>
              <w:bottom w:color="00000A" w:space="0" w:sz="4" w:val="double"/>
              <w:right w:color="00000A" w:space="0" w:sz="4" w:val="doub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b/>
                <w:bCs/>
                <w:sz w:val="28"/>
                <w:szCs w:val="28"/>
              </w:rPr>
              <w:t>3</w:t>
            </w:r>
          </w:p>
        </w:tc>
        <w:tc>
          <w:tcPr>
            <w:tcW w:type="dxa" w:w="1444"/>
            <w:tcBorders>
              <w:top w:color="00000A" w:space="0" w:sz="4" w:val="double"/>
              <w:left w:color="00000A" w:space="0" w:sz="4" w:val="double"/>
              <w:bottom w:color="00000A" w:space="0" w:sz="4" w:val="double"/>
              <w:right w:color="00000A" w:space="0" w:sz="4" w:val="doub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b/>
                <w:bCs/>
                <w:sz w:val="28"/>
                <w:szCs w:val="28"/>
              </w:rPr>
              <w:t>4</w:t>
            </w:r>
          </w:p>
        </w:tc>
      </w:tr>
      <w:tr>
        <w:trPr>
          <w:cantSplit w:val="false"/>
        </w:trPr>
        <w:tc>
          <w:tcPr>
            <w:tcW w:type="dxa" w:w="4917"/>
            <w:tcBorders>
              <w:top w:color="00000A" w:space="0" w:sz="4" w:val="doub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Проводити рейдові перевірки з представниками засобів масової інформації щодо пожежної та техногенної безпеки</w:t>
            </w:r>
          </w:p>
        </w:tc>
        <w:tc>
          <w:tcPr>
            <w:tcW w:type="dxa" w:w="6358"/>
            <w:tcBorders>
              <w:top w:color="00000A" w:space="0" w:sz="4" w:val="doub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Устинівський РС УДСНС України в Кіровоградській області</w:t>
            </w:r>
          </w:p>
        </w:tc>
        <w:tc>
          <w:tcPr>
            <w:tcW w:type="dxa" w:w="3240"/>
            <w:tcBorders>
              <w:top w:color="00000A" w:space="0" w:sz="4" w:val="doub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Зменшення кількості пожеж та загибелі людей на них</w:t>
            </w:r>
          </w:p>
        </w:tc>
        <w:tc>
          <w:tcPr>
            <w:tcW w:type="dxa" w:w="1444"/>
            <w:tcBorders>
              <w:top w:color="00000A" w:space="0" w:sz="4" w:val="doub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Протягом року</w:t>
            </w:r>
          </w:p>
        </w:tc>
      </w:tr>
      <w:tr>
        <w:trPr>
          <w:cantSplit w:val="false"/>
        </w:trPr>
        <w:tc>
          <w:tcPr>
            <w:tcW w:type="dxa" w:w="4917"/>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Виготовляти та розповсюджувати листівки на тематику безпеки життєдіяльності щодо дотримання громадянами правил пожежної безпеки у місцях з масовим перебуванням людей</w:t>
            </w:r>
          </w:p>
        </w:tc>
        <w:tc>
          <w:tcPr>
            <w:tcW w:type="dxa" w:w="6358"/>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Устинівський РС УДСНС України в Кіровоградській області</w:t>
            </w:r>
          </w:p>
        </w:tc>
        <w:tc>
          <w:tcPr>
            <w:tcW w:type="dxa" w:w="3240"/>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Зменшення кількості пожеж та загибелі людей на них</w:t>
            </w:r>
          </w:p>
        </w:tc>
        <w:tc>
          <w:tcPr>
            <w:tcW w:type="dxa" w:w="1444"/>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Протягом року</w:t>
            </w:r>
          </w:p>
        </w:tc>
      </w:tr>
      <w:tr>
        <w:trPr>
          <w:trHeight w:hRule="atLeast" w:val="395"/>
          <w:cantSplit w:val="false"/>
        </w:trPr>
        <w:tc>
          <w:tcPr>
            <w:tcW w:type="dxa" w:w="15959"/>
            <w:gridSpan w:val="4"/>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vAlign w:val="center"/>
          </w:tcPr>
          <w:p>
            <w:pPr>
              <w:pStyle w:val="style0"/>
              <w:widowControl/>
              <w:spacing w:after="200" w:before="0" w:line="276" w:lineRule="auto"/>
              <w:contextualSpacing w:val="false"/>
            </w:pPr>
            <w:r>
              <w:rPr>
                <w:rFonts w:ascii="Times New Roman" w:cs="Times New Roman" w:eastAsia="TimesNewRomanPS-BoldMT" w:hAnsi="Times New Roman"/>
                <w:b/>
                <w:bCs/>
                <w:sz w:val="28"/>
                <w:szCs w:val="28"/>
                <w:lang w:val="en-US"/>
              </w:rPr>
              <w:t>V</w:t>
            </w:r>
            <w:r>
              <w:rPr>
                <w:rFonts w:ascii="Times New Roman" w:cs="Times New Roman" w:eastAsia="TimesNewRomanPS-BoldMT" w:hAnsi="Times New Roman"/>
                <w:b/>
                <w:bCs/>
                <w:sz w:val="28"/>
                <w:szCs w:val="28"/>
              </w:rPr>
              <w:t>ІІІ. Заходи щодо попередження травмування і загибелі людей внаслідок випадкових падінь</w:t>
            </w:r>
          </w:p>
        </w:tc>
      </w:tr>
      <w:tr>
        <w:trPr>
          <w:trHeight w:hRule="atLeast" w:val="1563"/>
          <w:cantSplit w:val="false"/>
        </w:trPr>
        <w:tc>
          <w:tcPr>
            <w:tcW w:type="dxa" w:w="4917"/>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В місцях з масовим перебуванням людей в населених пунктах району обладнати тротуари, пішохідні доріжки, забезпечити освітлення в нічний час, встановити необхідні дорожні знаки безпеки дорожнього руху</w:t>
            </w:r>
          </w:p>
        </w:tc>
        <w:tc>
          <w:tcPr>
            <w:tcW w:type="dxa" w:w="6358"/>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 xml:space="preserve">Сільські, селищні ради, Устинівський </w:t>
            </w:r>
            <w:r>
              <w:rPr>
                <w:rFonts w:ascii="Times New Roman" w:cs="Times New Roman" w:hAnsi="Times New Roman"/>
                <w:sz w:val="28"/>
                <w:szCs w:val="28"/>
              </w:rPr>
              <w:t>ВП Бобринецького ВП</w:t>
            </w:r>
          </w:p>
        </w:tc>
        <w:tc>
          <w:tcPr>
            <w:tcW w:type="dxa" w:w="3240"/>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Зниження рівня травмування і загибелі людей внаслідок випадкових падінь</w:t>
            </w:r>
          </w:p>
        </w:tc>
        <w:tc>
          <w:tcPr>
            <w:tcW w:type="dxa" w:w="1444"/>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Протягом року</w:t>
            </w:r>
          </w:p>
        </w:tc>
      </w:tr>
      <w:tr>
        <w:trPr>
          <w:trHeight w:hRule="atLeast" w:val="403"/>
          <w:cantSplit w:val="false"/>
        </w:trPr>
        <w:tc>
          <w:tcPr>
            <w:tcW w:type="dxa" w:w="15959"/>
            <w:gridSpan w:val="4"/>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vAlign w:val="center"/>
          </w:tcPr>
          <w:p>
            <w:pPr>
              <w:pStyle w:val="style0"/>
              <w:widowControl/>
              <w:spacing w:after="200" w:before="0" w:line="276" w:lineRule="auto"/>
              <w:contextualSpacing w:val="false"/>
            </w:pPr>
            <w:r>
              <w:rPr>
                <w:rFonts w:ascii="Times New Roman" w:cs="Times New Roman" w:eastAsia="TimesNewRomanPS-BoldMT" w:hAnsi="Times New Roman"/>
                <w:b/>
                <w:bCs/>
                <w:sz w:val="28"/>
                <w:szCs w:val="28"/>
              </w:rPr>
              <w:t>ІХ. Заходи щодо попередження дитячого травматизму</w:t>
            </w:r>
          </w:p>
        </w:tc>
      </w:tr>
      <w:tr>
        <w:trPr>
          <w:trHeight w:hRule="atLeast" w:val="1241"/>
          <w:cantSplit w:val="false"/>
        </w:trPr>
        <w:tc>
          <w:tcPr>
            <w:tcW w:type="dxa" w:w="4917"/>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Проводити в навчальних закладах району тижні безпеки життєдіяльності різного тематичного спрямування в рамках позакласної виховної роботи серед учнів та вихованців з питань збереження життя і здоров’я дітей у побуті</w:t>
            </w:r>
          </w:p>
        </w:tc>
        <w:tc>
          <w:tcPr>
            <w:tcW w:type="dxa" w:w="6358"/>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Відділ освіти райдержадміністрації</w:t>
            </w:r>
          </w:p>
        </w:tc>
        <w:tc>
          <w:tcPr>
            <w:tcW w:type="dxa" w:w="3240"/>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Зниження рівня травматизму серед дітей</w:t>
            </w:r>
          </w:p>
        </w:tc>
        <w:tc>
          <w:tcPr>
            <w:tcW w:type="dxa" w:w="1444"/>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pPr>
            <w:r>
              <w:rPr>
                <w:rFonts w:ascii="Times New Roman" w:cs="Times New Roman" w:eastAsia="TimesNewRomanPS-BoldMT" w:hAnsi="Times New Roman"/>
                <w:sz w:val="28"/>
                <w:szCs w:val="28"/>
              </w:rPr>
              <w:t>Протягом року</w:t>
            </w:r>
          </w:p>
          <w:p>
            <w:pPr>
              <w:pStyle w:val="style0"/>
              <w:spacing w:after="200" w:before="0"/>
              <w:contextualSpacing w:val="false"/>
            </w:pPr>
            <w:r>
              <w:rPr/>
            </w:r>
          </w:p>
        </w:tc>
      </w:tr>
      <w:tr>
        <w:trPr>
          <w:trHeight w:hRule="atLeast" w:val="163"/>
          <w:cantSplit w:val="false"/>
        </w:trPr>
        <w:tc>
          <w:tcPr>
            <w:tcW w:type="dxa" w:w="4917"/>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Сприяти діяльності технічних, музичних, фізкультурно-оздоровчих та інших клубів і гуртків для проведення занять та організації дозвілля підлітків і молоді у позаурочний час</w:t>
            </w:r>
          </w:p>
        </w:tc>
        <w:tc>
          <w:tcPr>
            <w:tcW w:type="dxa" w:w="6358"/>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Відділи: освіти, культури і туризму райдержадміністрації</w:t>
            </w:r>
          </w:p>
        </w:tc>
        <w:tc>
          <w:tcPr>
            <w:tcW w:type="dxa" w:w="3240"/>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pPr>
            <w:r>
              <w:rPr>
                <w:rFonts w:ascii="Times New Roman" w:cs="Times New Roman" w:eastAsia="TimesNewRomanPS-BoldMT" w:hAnsi="Times New Roman"/>
                <w:sz w:val="28"/>
                <w:szCs w:val="28"/>
              </w:rPr>
              <w:t>Зниження рівня травматизму серед дітей</w:t>
            </w:r>
          </w:p>
          <w:p>
            <w:pPr>
              <w:pStyle w:val="style0"/>
              <w:spacing w:after="200" w:before="0"/>
              <w:contextualSpacing w:val="false"/>
            </w:pPr>
            <w:r>
              <w:rPr/>
            </w:r>
          </w:p>
        </w:tc>
        <w:tc>
          <w:tcPr>
            <w:tcW w:type="dxa" w:w="1444"/>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Протягом року</w:t>
            </w:r>
          </w:p>
        </w:tc>
      </w:tr>
      <w:tr>
        <w:trPr>
          <w:trHeight w:hRule="atLeast" w:val="1408"/>
          <w:cantSplit w:val="false"/>
        </w:trPr>
        <w:tc>
          <w:tcPr>
            <w:tcW w:type="dxa" w:w="4917"/>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pPr>
            <w:r>
              <w:rPr>
                <w:rFonts w:ascii="Times New Roman" w:cs="Times New Roman" w:eastAsia="TimesNewRomanPS-BoldMT" w:hAnsi="Times New Roman"/>
                <w:sz w:val="28"/>
                <w:szCs w:val="28"/>
              </w:rPr>
              <w:t>Організація та проведення Тижнів знань безпеки життєдіяльності в дошкільних та загальноосвітніх навчальних закладах</w:t>
            </w:r>
          </w:p>
          <w:p>
            <w:pPr>
              <w:pStyle w:val="style0"/>
              <w:spacing w:after="200" w:before="0"/>
              <w:contextualSpacing w:val="false"/>
            </w:pPr>
            <w:r>
              <w:rPr/>
            </w:r>
          </w:p>
        </w:tc>
        <w:tc>
          <w:tcPr>
            <w:tcW w:type="dxa" w:w="6358"/>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Устинівський РС УДСНС України в Кіровоградській області</w:t>
            </w:r>
          </w:p>
        </w:tc>
        <w:tc>
          <w:tcPr>
            <w:tcW w:type="dxa" w:w="3240"/>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pPr>
            <w:r>
              <w:rPr>
                <w:rFonts w:ascii="Times New Roman" w:cs="Times New Roman" w:eastAsia="TimesNewRomanPS-BoldMT" w:hAnsi="Times New Roman"/>
                <w:sz w:val="28"/>
                <w:szCs w:val="28"/>
              </w:rPr>
              <w:t>Зниження рівня травматизму серед дітей</w:t>
            </w:r>
          </w:p>
          <w:p>
            <w:pPr>
              <w:pStyle w:val="style0"/>
              <w:spacing w:after="200" w:before="0"/>
              <w:contextualSpacing w:val="false"/>
            </w:pPr>
            <w:r>
              <w:rPr/>
            </w:r>
          </w:p>
        </w:tc>
        <w:tc>
          <w:tcPr>
            <w:tcW w:type="dxa" w:w="1444"/>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pPr>
            <w:r>
              <w:rPr>
                <w:rFonts w:ascii="Times New Roman" w:cs="Times New Roman" w:eastAsia="TimesNewRomanPS-BoldMT" w:hAnsi="Times New Roman"/>
                <w:sz w:val="28"/>
                <w:szCs w:val="28"/>
              </w:rPr>
              <w:t>Квітень,</w:t>
            </w:r>
          </w:p>
          <w:p>
            <w:pPr>
              <w:pStyle w:val="style0"/>
              <w:widowControl/>
              <w:spacing w:after="200" w:before="0" w:line="276" w:lineRule="auto"/>
              <w:contextualSpacing w:val="false"/>
            </w:pPr>
            <w:r>
              <w:rPr>
                <w:rFonts w:ascii="Times New Roman" w:cs="Times New Roman" w:eastAsia="TimesNewRomanPS-BoldMT" w:hAnsi="Times New Roman"/>
                <w:sz w:val="28"/>
                <w:szCs w:val="28"/>
              </w:rPr>
              <w:t>листопад 2016 року</w:t>
            </w:r>
          </w:p>
        </w:tc>
      </w:tr>
    </w:tbl>
    <w:p>
      <w:pPr>
        <w:pStyle w:val="style0"/>
      </w:pPr>
      <w:r>
        <w:rPr>
          <w:rFonts w:ascii="Times New Roman" w:cs="Times New Roman" w:hAnsi="Times New Roman"/>
          <w:sz w:val="28"/>
          <w:szCs w:val="28"/>
        </w:rPr>
        <w:t>5</w:t>
      </w:r>
    </w:p>
    <w:p>
      <w:pPr>
        <w:pStyle w:val="style0"/>
      </w:pPr>
      <w:r>
        <w:rPr/>
      </w:r>
    </w:p>
    <w:tbl>
      <w:tblPr>
        <w:jc w:val="left"/>
        <w:tblInd w:type="dxa" w:w="-321"/>
        <w:tblBorders>
          <w:top w:color="00000A" w:space="0" w:sz="4" w:val="double"/>
          <w:left w:color="00000A" w:space="0" w:sz="4" w:val="double"/>
          <w:bottom w:color="00000A" w:space="0" w:sz="4" w:val="double"/>
          <w:right w:color="00000A" w:space="0" w:sz="4" w:val="double"/>
        </w:tblBorders>
      </w:tblPr>
      <w:tblGrid>
        <w:gridCol w:w="4917"/>
        <w:gridCol w:w="6358"/>
        <w:gridCol w:w="3240"/>
        <w:gridCol w:w="1444"/>
      </w:tblGrid>
      <w:tr>
        <w:trPr>
          <w:trHeight w:hRule="atLeast" w:val="163"/>
          <w:cantSplit w:val="false"/>
        </w:trPr>
        <w:tc>
          <w:tcPr>
            <w:tcW w:type="dxa" w:w="4917"/>
            <w:tcBorders>
              <w:top w:color="00000A" w:space="0" w:sz="4" w:val="double"/>
              <w:left w:color="00000A" w:space="0" w:sz="4" w:val="double"/>
              <w:bottom w:color="00000A" w:space="0" w:sz="4" w:val="double"/>
              <w:right w:color="00000A" w:space="0" w:sz="4" w:val="doub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b/>
                <w:bCs/>
                <w:sz w:val="28"/>
                <w:szCs w:val="28"/>
              </w:rPr>
              <w:t>1</w:t>
            </w:r>
          </w:p>
        </w:tc>
        <w:tc>
          <w:tcPr>
            <w:tcW w:type="dxa" w:w="6358"/>
            <w:tcBorders>
              <w:top w:color="00000A" w:space="0" w:sz="4" w:val="double"/>
              <w:left w:color="00000A" w:space="0" w:sz="4" w:val="double"/>
              <w:bottom w:color="00000A" w:space="0" w:sz="4" w:val="double"/>
              <w:right w:color="00000A" w:space="0" w:sz="4" w:val="doub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b/>
                <w:bCs/>
                <w:sz w:val="28"/>
                <w:szCs w:val="28"/>
              </w:rPr>
              <w:t>2</w:t>
            </w:r>
          </w:p>
        </w:tc>
        <w:tc>
          <w:tcPr>
            <w:tcW w:type="dxa" w:w="3240"/>
            <w:tcBorders>
              <w:top w:color="00000A" w:space="0" w:sz="4" w:val="double"/>
              <w:left w:color="00000A" w:space="0" w:sz="4" w:val="double"/>
              <w:bottom w:color="00000A" w:space="0" w:sz="4" w:val="double"/>
              <w:right w:color="00000A" w:space="0" w:sz="4" w:val="doub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b/>
                <w:bCs/>
                <w:sz w:val="28"/>
                <w:szCs w:val="28"/>
              </w:rPr>
              <w:t>3</w:t>
            </w:r>
          </w:p>
        </w:tc>
        <w:tc>
          <w:tcPr>
            <w:tcW w:type="dxa" w:w="1444"/>
            <w:tcBorders>
              <w:top w:color="00000A" w:space="0" w:sz="4" w:val="double"/>
              <w:left w:color="00000A" w:space="0" w:sz="4" w:val="double"/>
              <w:bottom w:color="00000A" w:space="0" w:sz="4" w:val="double"/>
              <w:right w:color="00000A" w:space="0" w:sz="4" w:val="doub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b/>
                <w:bCs/>
                <w:sz w:val="28"/>
                <w:szCs w:val="28"/>
              </w:rPr>
              <w:t>4</w:t>
            </w:r>
          </w:p>
        </w:tc>
      </w:tr>
      <w:tr>
        <w:trPr>
          <w:trHeight w:hRule="atLeast" w:val="163"/>
          <w:cantSplit w:val="false"/>
        </w:trPr>
        <w:tc>
          <w:tcPr>
            <w:tcW w:type="dxa" w:w="4917"/>
            <w:tcBorders>
              <w:top w:color="00000A" w:space="0" w:sz="4" w:val="doub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pPr>
            <w:r>
              <w:rPr>
                <w:rFonts w:ascii="Times New Roman" w:cs="Times New Roman" w:eastAsia="TimesNewRomanPS-BoldMT" w:hAnsi="Times New Roman"/>
                <w:sz w:val="28"/>
                <w:szCs w:val="28"/>
              </w:rPr>
              <w:t>Організація та проведення шкільного, районного фестивалю Дружин юних пожежних</w:t>
            </w:r>
          </w:p>
          <w:p>
            <w:pPr>
              <w:pStyle w:val="style0"/>
              <w:spacing w:after="200" w:before="0"/>
              <w:contextualSpacing w:val="false"/>
            </w:pPr>
            <w:r>
              <w:rPr/>
            </w:r>
          </w:p>
        </w:tc>
        <w:tc>
          <w:tcPr>
            <w:tcW w:type="dxa" w:w="6358"/>
            <w:tcBorders>
              <w:top w:color="00000A" w:space="0" w:sz="4" w:val="doub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Устинівський РС УДСНС України в Кіровоградській області, відділ освіти райдержадміністрації, відділ культури і туризму райдержадміністрації</w:t>
            </w:r>
          </w:p>
        </w:tc>
        <w:tc>
          <w:tcPr>
            <w:tcW w:type="dxa" w:w="3240"/>
            <w:tcBorders>
              <w:top w:color="00000A" w:space="0" w:sz="4" w:val="doub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pPr>
            <w:r>
              <w:rPr>
                <w:rFonts w:ascii="Times New Roman" w:cs="Times New Roman" w:eastAsia="TimesNewRomanPS-BoldMT" w:hAnsi="Times New Roman"/>
                <w:sz w:val="28"/>
                <w:szCs w:val="28"/>
              </w:rPr>
              <w:t>Зниження рівня травматизму серед дітей</w:t>
            </w:r>
          </w:p>
          <w:p>
            <w:pPr>
              <w:pStyle w:val="style0"/>
              <w:spacing w:after="200" w:before="0"/>
              <w:contextualSpacing w:val="false"/>
            </w:pPr>
            <w:r>
              <w:rPr/>
            </w:r>
          </w:p>
        </w:tc>
        <w:tc>
          <w:tcPr>
            <w:tcW w:type="dxa" w:w="1444"/>
            <w:tcBorders>
              <w:top w:color="00000A" w:space="0" w:sz="4" w:val="doub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Лютий-травень 2016 року</w:t>
            </w:r>
          </w:p>
        </w:tc>
      </w:tr>
      <w:tr>
        <w:trPr>
          <w:trHeight w:hRule="atLeast" w:val="376"/>
          <w:cantSplit w:val="false"/>
        </w:trPr>
        <w:tc>
          <w:tcPr>
            <w:tcW w:type="dxa" w:w="15959"/>
            <w:gridSpan w:val="4"/>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vAlign w:val="center"/>
          </w:tcPr>
          <w:p>
            <w:pPr>
              <w:pStyle w:val="style0"/>
              <w:widowControl/>
              <w:spacing w:after="200" w:before="0" w:line="276" w:lineRule="auto"/>
              <w:contextualSpacing w:val="false"/>
            </w:pPr>
            <w:r>
              <w:rPr>
                <w:rFonts w:ascii="Times New Roman" w:cs="Times New Roman" w:eastAsia="TimesNewRomanPS-BoldMT" w:hAnsi="Times New Roman"/>
                <w:b/>
                <w:bCs/>
                <w:sz w:val="28"/>
                <w:szCs w:val="28"/>
              </w:rPr>
              <w:t>Х. Заходи щодо попередження інших нещасних випадків</w:t>
            </w:r>
          </w:p>
        </w:tc>
      </w:tr>
      <w:tr>
        <w:trPr>
          <w:cantSplit w:val="false"/>
        </w:trPr>
        <w:tc>
          <w:tcPr>
            <w:tcW w:type="dxa" w:w="4917"/>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pPr>
            <w:r>
              <w:rPr>
                <w:rFonts w:ascii="Times New Roman" w:cs="Times New Roman" w:eastAsia="TimesNewRomanPS-BoldMT" w:hAnsi="Times New Roman"/>
                <w:sz w:val="28"/>
                <w:szCs w:val="28"/>
              </w:rPr>
              <w:t>Забезпечувати організацію проведення заходів, акцій, засідань за круглим столом, семінарів та нарад з питань безпечної життєдіяльності населення, публікацій в засобах масової інформації для висвітлення питань пожежної безпеки, безпеки дорожнього руху, безпеки на водних об’єктах, методів надання першої допомоги при травмах, опіках, отруєннях, укусах тварин</w:t>
            </w:r>
          </w:p>
          <w:p>
            <w:pPr>
              <w:pStyle w:val="style0"/>
              <w:spacing w:after="200" w:before="0"/>
              <w:contextualSpacing w:val="false"/>
            </w:pPr>
            <w:r>
              <w:rPr/>
            </w:r>
          </w:p>
        </w:tc>
        <w:tc>
          <w:tcPr>
            <w:tcW w:type="dxa" w:w="6358"/>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pPr>
            <w:r>
              <w:rPr>
                <w:rFonts w:ascii="Times New Roman" w:cs="Times New Roman" w:eastAsia="TimesNewRomanPS-BoldMT" w:hAnsi="Times New Roman"/>
                <w:sz w:val="28"/>
                <w:szCs w:val="28"/>
              </w:rPr>
              <w:t>Управління агропромислового розвитку районної державної адміністрації, Устинівський РС УДСНС України в Кіровоградській області, Устинівськ</w:t>
            </w:r>
            <w:r>
              <w:rPr>
                <w:rFonts w:ascii="Times New Roman" w:cs="Times New Roman" w:hAnsi="Times New Roman"/>
                <w:sz w:val="28"/>
                <w:szCs w:val="28"/>
              </w:rPr>
              <w:t>ий ВП Бобринецького ВП</w:t>
            </w:r>
          </w:p>
          <w:p>
            <w:pPr>
              <w:pStyle w:val="style0"/>
            </w:pPr>
            <w:r>
              <w:rPr/>
            </w:r>
          </w:p>
          <w:p>
            <w:pPr>
              <w:pStyle w:val="style0"/>
              <w:spacing w:after="200" w:before="0"/>
              <w:contextualSpacing w:val="false"/>
            </w:pPr>
            <w:r>
              <w:rPr/>
            </w:r>
          </w:p>
        </w:tc>
        <w:tc>
          <w:tcPr>
            <w:tcW w:type="dxa" w:w="3240"/>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Збереження життя та здоров’я громадян, профілактика травматизму невиробничого характеру</w:t>
            </w:r>
          </w:p>
        </w:tc>
        <w:tc>
          <w:tcPr>
            <w:tcW w:type="dxa" w:w="1444"/>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Протягом року</w:t>
            </w:r>
          </w:p>
        </w:tc>
      </w:tr>
      <w:tr>
        <w:trPr>
          <w:trHeight w:hRule="atLeast" w:val="383"/>
          <w:cantSplit w:val="false"/>
        </w:trPr>
        <w:tc>
          <w:tcPr>
            <w:tcW w:type="dxa" w:w="15959"/>
            <w:gridSpan w:val="4"/>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vAlign w:val="center"/>
          </w:tcPr>
          <w:p>
            <w:pPr>
              <w:pStyle w:val="style0"/>
              <w:widowControl/>
              <w:spacing w:after="200" w:before="0" w:line="276" w:lineRule="auto"/>
              <w:contextualSpacing w:val="false"/>
            </w:pPr>
            <w:r>
              <w:rPr>
                <w:rFonts w:ascii="Times New Roman" w:cs="Times New Roman" w:eastAsia="TimesNewRomanPS-BoldMT" w:hAnsi="Times New Roman"/>
                <w:b/>
                <w:bCs/>
                <w:sz w:val="28"/>
                <w:szCs w:val="28"/>
              </w:rPr>
              <w:t>ХІ. Заходи з організації навчання населення з питань безпеки життєдіяльності</w:t>
            </w:r>
          </w:p>
        </w:tc>
      </w:tr>
      <w:tr>
        <w:trPr>
          <w:trHeight w:hRule="atLeast" w:val="2219"/>
          <w:cantSplit w:val="false"/>
        </w:trPr>
        <w:tc>
          <w:tcPr>
            <w:tcW w:type="dxa" w:w="4917"/>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pPr>
            <w:r>
              <w:rPr>
                <w:rFonts w:ascii="Times New Roman" w:cs="Times New Roman" w:hAnsi="Times New Roman"/>
                <w:sz w:val="28"/>
                <w:szCs w:val="28"/>
              </w:rPr>
              <w:t xml:space="preserve">Організовувати навчання населення: </w:t>
            </w:r>
          </w:p>
          <w:p>
            <w:pPr>
              <w:pStyle w:val="style0"/>
            </w:pPr>
            <w:r>
              <w:rPr>
                <w:rFonts w:ascii="Times New Roman" w:cs="Times New Roman" w:hAnsi="Times New Roman"/>
                <w:sz w:val="28"/>
                <w:szCs w:val="28"/>
              </w:rPr>
              <w:t xml:space="preserve">   </w:t>
            </w:r>
            <w:r>
              <w:rPr>
                <w:rFonts w:ascii="Times New Roman" w:cs="Times New Roman" w:hAnsi="Times New Roman"/>
                <w:sz w:val="28"/>
                <w:szCs w:val="28"/>
              </w:rPr>
              <w:t>способам захисту в разі виникнення надзвичайних, несприятливих побутових або нестандартних ситуацій;</w:t>
            </w:r>
          </w:p>
          <w:p>
            <w:pPr>
              <w:pStyle w:val="style0"/>
            </w:pPr>
            <w:r>
              <w:rPr>
                <w:rFonts w:ascii="Times New Roman" w:cs="Times New Roman" w:hAnsi="Times New Roman"/>
                <w:sz w:val="28"/>
                <w:szCs w:val="28"/>
              </w:rPr>
              <w:t xml:space="preserve">   </w:t>
            </w:r>
            <w:r>
              <w:rPr>
                <w:rFonts w:ascii="Times New Roman" w:cs="Times New Roman" w:hAnsi="Times New Roman"/>
                <w:sz w:val="28"/>
                <w:szCs w:val="28"/>
              </w:rPr>
              <w:t>діям при проведенні евакуації;</w:t>
            </w:r>
          </w:p>
          <w:p>
            <w:pPr>
              <w:pStyle w:val="style0"/>
            </w:pPr>
            <w:r>
              <w:rPr>
                <w:rFonts w:ascii="Times New Roman" w:cs="Times New Roman" w:hAnsi="Times New Roman"/>
                <w:sz w:val="28"/>
                <w:szCs w:val="28"/>
              </w:rPr>
              <w:t xml:space="preserve">   </w:t>
            </w:r>
            <w:r>
              <w:rPr>
                <w:rFonts w:ascii="Times New Roman" w:cs="Times New Roman" w:hAnsi="Times New Roman"/>
                <w:sz w:val="28"/>
                <w:szCs w:val="28"/>
              </w:rPr>
              <w:t>навчання населення способам надання першої медичної допомоги та дотримання правил відповідної санітарії; дотримання протиепідемічного режиму</w:t>
            </w:r>
          </w:p>
          <w:p>
            <w:pPr>
              <w:pStyle w:val="style0"/>
              <w:spacing w:after="200" w:before="0"/>
              <w:contextualSpacing w:val="false"/>
            </w:pPr>
            <w:r>
              <w:rPr/>
            </w:r>
          </w:p>
        </w:tc>
        <w:tc>
          <w:tcPr>
            <w:tcW w:type="dxa" w:w="6358"/>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Устинівський РС УДСНС України в Кіровоградській області, Устинівська центральна районна лікарня</w:t>
            </w:r>
          </w:p>
        </w:tc>
        <w:tc>
          <w:tcPr>
            <w:tcW w:type="dxa" w:w="3240"/>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Збереження життя та здоров’я людей</w:t>
            </w:r>
          </w:p>
        </w:tc>
        <w:tc>
          <w:tcPr>
            <w:tcW w:type="dxa" w:w="1444"/>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Протягом року</w:t>
            </w:r>
          </w:p>
        </w:tc>
      </w:tr>
    </w:tbl>
    <w:p>
      <w:pPr>
        <w:pStyle w:val="style0"/>
      </w:pPr>
      <w:r>
        <w:rPr/>
      </w:r>
    </w:p>
    <w:p>
      <w:pPr>
        <w:pStyle w:val="style0"/>
      </w:pPr>
      <w:r>
        <w:rPr/>
      </w:r>
    </w:p>
    <w:p>
      <w:pPr>
        <w:pStyle w:val="style0"/>
      </w:pPr>
      <w:r>
        <w:rPr/>
      </w:r>
    </w:p>
    <w:p>
      <w:pPr>
        <w:pStyle w:val="style0"/>
      </w:pPr>
      <w:r>
        <w:rPr>
          <w:rFonts w:ascii="Times New Roman" w:cs="Times New Roman" w:hAnsi="Times New Roman"/>
          <w:sz w:val="28"/>
          <w:szCs w:val="28"/>
        </w:rPr>
        <w:t>6</w:t>
      </w:r>
    </w:p>
    <w:tbl>
      <w:tblPr>
        <w:jc w:val="left"/>
        <w:tblInd w:type="dxa" w:w="-321"/>
        <w:tblBorders>
          <w:top w:color="00000A" w:space="0" w:sz="4" w:val="single"/>
          <w:left w:color="00000A" w:space="0" w:sz="4" w:val="single"/>
          <w:bottom w:color="00000A" w:space="0" w:sz="4" w:val="single"/>
          <w:right w:color="00000A" w:space="0" w:sz="4" w:val="single"/>
        </w:tblBorders>
      </w:tblPr>
      <w:tblGrid>
        <w:gridCol w:w="15958"/>
      </w:tblGrid>
      <w:tr>
        <w:trPr>
          <w:trHeight w:hRule="atLeast" w:val="354"/>
          <w:cantSplit w:val="false"/>
        </w:trPr>
        <w:tc>
          <w:tcPr>
            <w:tcW w:type="dxa" w:w="15958"/>
            <w:gridSpan w:val="4"/>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vAlign w:val="center"/>
          </w:tcPr>
          <w:p>
            <w:pPr>
              <w:pStyle w:val="style0"/>
              <w:widowControl/>
              <w:spacing w:after="200" w:before="0" w:line="276" w:lineRule="auto"/>
              <w:contextualSpacing w:val="false"/>
            </w:pPr>
            <w:r>
              <w:rPr>
                <w:rFonts w:ascii="Times New Roman" w:cs="Times New Roman" w:eastAsia="TimesNewRomanPS-BoldMT" w:hAnsi="Times New Roman"/>
                <w:b/>
                <w:bCs/>
                <w:sz w:val="28"/>
                <w:szCs w:val="28"/>
              </w:rPr>
              <w:t>ХІІ. Інформаційне забезпечення</w:t>
            </w:r>
          </w:p>
        </w:tc>
      </w:tr>
      <w:tr>
        <w:trPr>
          <w:cantSplit w:val="false"/>
        </w:trPr>
        <w:tc>
          <w:tcPr>
            <w:tcW w:type="dxa" w:w="3989"/>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Забезпечити проведення в бібліотеках району та в бібліотеках навчальних закладів виставок літератури, бесід, семінарів з питань безпеки життєдіяльності, безпеки руху, пожежної безпеки, безпеки на водних об’єктах</w:t>
            </w:r>
          </w:p>
        </w:tc>
        <w:tc>
          <w:tcPr>
            <w:tcW w:type="dxa" w:w="3990"/>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Відділи: культури і туризму, освіти райдержадміністрації</w:t>
            </w:r>
          </w:p>
        </w:tc>
        <w:tc>
          <w:tcPr>
            <w:tcW w:type="dxa" w:w="3989"/>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Зниження рівня травматизму невиробничого характеру серед населення району</w:t>
            </w:r>
          </w:p>
        </w:tc>
        <w:tc>
          <w:tcPr>
            <w:tcW w:type="dxa" w:w="3990"/>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Протягом року</w:t>
            </w:r>
          </w:p>
        </w:tc>
      </w:tr>
      <w:tr>
        <w:trPr>
          <w:cantSplit w:val="false"/>
        </w:trPr>
        <w:tc>
          <w:tcPr>
            <w:tcW w:type="dxa" w:w="3989"/>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Проводити через засоби масової інформації інформування населення про причини невиробничого травматизму та можливостей їх попередження</w:t>
            </w:r>
          </w:p>
        </w:tc>
        <w:tc>
          <w:tcPr>
            <w:tcW w:type="dxa" w:w="3990"/>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pPr>
            <w:r>
              <w:rPr>
                <w:rFonts w:ascii="Times New Roman" w:cs="Times New Roman" w:hAnsi="Times New Roman"/>
                <w:sz w:val="28"/>
                <w:szCs w:val="28"/>
              </w:rPr>
              <w:t xml:space="preserve">Відділ організаційної роботи, інформаційної діяльності та комунікацій з громадськістю </w:t>
            </w:r>
          </w:p>
          <w:p>
            <w:pPr>
              <w:pStyle w:val="style0"/>
              <w:spacing w:after="200" w:before="0"/>
              <w:contextualSpacing w:val="false"/>
            </w:pPr>
            <w:r>
              <w:rPr/>
            </w:r>
          </w:p>
        </w:tc>
        <w:tc>
          <w:tcPr>
            <w:tcW w:type="dxa" w:w="3989"/>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Профілактика травматизму невиробничого характеру</w:t>
            </w:r>
          </w:p>
        </w:tc>
        <w:tc>
          <w:tcPr>
            <w:tcW w:type="dxa" w:w="3990"/>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Протягом року</w:t>
            </w:r>
          </w:p>
        </w:tc>
      </w:tr>
      <w:tr>
        <w:trPr>
          <w:cantSplit w:val="false"/>
        </w:trPr>
        <w:tc>
          <w:tcPr>
            <w:tcW w:type="dxa" w:w="3989"/>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pPr>
            <w:r>
              <w:rPr>
                <w:rFonts w:ascii="Times New Roman" w:cs="Times New Roman" w:eastAsia="TimesNewRomanPS-BoldMT" w:hAnsi="Times New Roman"/>
                <w:sz w:val="28"/>
                <w:szCs w:val="28"/>
              </w:rPr>
              <w:t>Організовувати навчання населення правилам пожежної безпеки, безпеки дорожнього руху, надання першої медичної допомоги. Проводити роз’яснювальну роботу серед пенсіонерів, інших малозабезпечених верств населення щодо профілактики пожеж та нещасних випадків у побуті</w:t>
            </w:r>
          </w:p>
          <w:p>
            <w:pPr>
              <w:pStyle w:val="style0"/>
              <w:spacing w:after="200" w:before="0"/>
              <w:contextualSpacing w:val="false"/>
            </w:pPr>
            <w:r>
              <w:rPr/>
            </w:r>
          </w:p>
        </w:tc>
        <w:tc>
          <w:tcPr>
            <w:tcW w:type="dxa" w:w="3990"/>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Устинівський РС УДСНС України в Кіровоградській області, Устинівськ</w:t>
            </w:r>
            <w:r>
              <w:rPr>
                <w:rFonts w:ascii="Times New Roman" w:cs="Times New Roman" w:hAnsi="Times New Roman"/>
                <w:sz w:val="28"/>
                <w:szCs w:val="28"/>
              </w:rPr>
              <w:t>ий ВП Бобринецького ВП</w:t>
            </w:r>
            <w:r>
              <w:rPr>
                <w:rFonts w:ascii="Times New Roman" w:cs="Times New Roman" w:eastAsia="TimesNewRomanPS-BoldMT" w:hAnsi="Times New Roman"/>
                <w:sz w:val="28"/>
                <w:szCs w:val="28"/>
              </w:rPr>
              <w:t xml:space="preserve">, територіальний центр соціального обслуговування (надання соціальних послуг) Устинівського району </w:t>
            </w:r>
          </w:p>
        </w:tc>
        <w:tc>
          <w:tcPr>
            <w:tcW w:type="dxa" w:w="3989"/>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Зниження рівня травматизму невиробничого характеру серед населення району</w:t>
            </w:r>
          </w:p>
        </w:tc>
        <w:tc>
          <w:tcPr>
            <w:tcW w:type="dxa" w:w="3990"/>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Протягом року</w:t>
            </w:r>
          </w:p>
        </w:tc>
      </w:tr>
      <w:tr>
        <w:trPr>
          <w:cantSplit w:val="false"/>
        </w:trPr>
        <w:tc>
          <w:tcPr>
            <w:tcW w:type="dxa" w:w="3989"/>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Забезпечити проведення навчання та перевірки знань з питань охорони праці в закладах освіти, культури, охорони здоров’я району</w:t>
            </w:r>
          </w:p>
        </w:tc>
        <w:tc>
          <w:tcPr>
            <w:tcW w:type="dxa" w:w="3990"/>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pPr>
            <w:r>
              <w:rPr>
                <w:rFonts w:ascii="Times New Roman" w:cs="Times New Roman" w:eastAsia="TimesNewRomanPS-BoldMT" w:hAnsi="Times New Roman"/>
                <w:sz w:val="28"/>
                <w:szCs w:val="28"/>
              </w:rPr>
              <w:t xml:space="preserve">Відділи: освіти, культури і туризму районної державної адміністрації, Устинівська центральна районна лікарня, комунальний заклад </w:t>
            </w:r>
          </w:p>
          <w:p>
            <w:pPr>
              <w:pStyle w:val="style0"/>
              <w:spacing w:after="200" w:before="0"/>
              <w:contextualSpacing w:val="false"/>
            </w:pPr>
            <w:r>
              <w:rPr/>
            </w:r>
          </w:p>
        </w:tc>
        <w:tc>
          <w:tcPr>
            <w:tcW w:type="dxa" w:w="3989"/>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Зниження рівня травматизму невиробничого характеру серед населення району</w:t>
            </w:r>
          </w:p>
        </w:tc>
        <w:tc>
          <w:tcPr>
            <w:tcW w:type="dxa" w:w="3990"/>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Протягом року</w:t>
            </w:r>
          </w:p>
        </w:tc>
      </w:tr>
      <w:tr>
        <w:trPr>
          <w:cantSplit w:val="false"/>
        </w:trPr>
        <w:tc>
          <w:tcPr>
            <w:tcW w:type="dxa" w:w="3989"/>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pPr>
            <w:r>
              <w:rPr>
                <w:rFonts w:ascii="Times New Roman" w:cs="Times New Roman" w:eastAsia="TimesNewRomanPS-BoldMT" w:hAnsi="Times New Roman"/>
                <w:sz w:val="28"/>
                <w:szCs w:val="28"/>
              </w:rPr>
              <w:t>Забезпечити організацію та проведення серед населення пропаганди здорового та безпечного способу життя, негативного  ставлення до вживання алкоголю, наркотиків, особливо серед дітей та молоді, навчання правилам надання першої допомоги при травмах, опіках, утопленні</w:t>
            </w:r>
          </w:p>
          <w:p>
            <w:pPr>
              <w:pStyle w:val="style0"/>
              <w:spacing w:after="200" w:before="0"/>
              <w:contextualSpacing w:val="false"/>
            </w:pPr>
            <w:r>
              <w:rPr/>
            </w:r>
          </w:p>
        </w:tc>
        <w:tc>
          <w:tcPr>
            <w:tcW w:type="dxa" w:w="3990"/>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Устинівська центральна районна лікарня, відділи: освіти, культури і туризму районної державної адміністрації</w:t>
            </w:r>
          </w:p>
        </w:tc>
        <w:tc>
          <w:tcPr>
            <w:tcW w:type="dxa" w:w="3989"/>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Профілактика травматизму невиробничого характеру  серед населення району</w:t>
            </w:r>
          </w:p>
        </w:tc>
        <w:tc>
          <w:tcPr>
            <w:tcW w:type="dxa" w:w="3990"/>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Протягом року</w:t>
            </w:r>
          </w:p>
        </w:tc>
      </w:tr>
    </w:tbl>
    <w:p>
      <w:pPr>
        <w:pStyle w:val="style0"/>
      </w:pPr>
      <w:r>
        <w:rPr/>
      </w:r>
    </w:p>
    <w:p>
      <w:pPr>
        <w:pStyle w:val="style0"/>
      </w:pPr>
      <w:r>
        <w:rPr/>
      </w:r>
    </w:p>
    <w:p>
      <w:pPr>
        <w:pStyle w:val="style0"/>
      </w:pPr>
      <w:r>
        <w:rPr/>
      </w:r>
    </w:p>
    <w:p>
      <w:pPr>
        <w:pStyle w:val="style0"/>
      </w:pPr>
      <w:r>
        <w:rPr/>
      </w:r>
    </w:p>
    <w:p>
      <w:pPr>
        <w:pStyle w:val="style0"/>
      </w:pPr>
      <w:r>
        <w:rPr/>
      </w:r>
    </w:p>
    <w:p>
      <w:pPr>
        <w:pStyle w:val="style0"/>
      </w:pPr>
      <w:r>
        <w:rPr>
          <w:rFonts w:ascii="Times New Roman" w:cs="Times New Roman" w:hAnsi="Times New Roman"/>
          <w:sz w:val="28"/>
          <w:szCs w:val="28"/>
        </w:rPr>
        <w:t>7</w:t>
      </w:r>
    </w:p>
    <w:tbl>
      <w:tblPr>
        <w:jc w:val="left"/>
        <w:tblInd w:type="dxa" w:w="-321"/>
        <w:tblBorders>
          <w:top w:color="00000A" w:space="0" w:sz="4" w:val="single"/>
          <w:left w:color="00000A" w:space="0" w:sz="4" w:val="single"/>
          <w:bottom w:color="00000A" w:space="0" w:sz="4" w:val="single"/>
          <w:right w:color="00000A" w:space="0" w:sz="4" w:val="single"/>
        </w:tblBorders>
      </w:tblPr>
      <w:tblGrid>
        <w:gridCol w:w="15958"/>
      </w:tblGrid>
      <w:tr>
        <w:trPr>
          <w:cantSplit w:val="false"/>
        </w:trPr>
        <w:tc>
          <w:tcPr>
            <w:tcW w:type="dxa" w:w="15958"/>
            <w:gridSpan w:val="4"/>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b/>
                <w:bCs/>
                <w:sz w:val="28"/>
                <w:szCs w:val="28"/>
              </w:rPr>
              <w:t>ХІІІ. Перелік залучених профільних громадських організацій у вирішенні питань безпеки життєдіяльності</w:t>
            </w:r>
          </w:p>
        </w:tc>
      </w:tr>
      <w:tr>
        <w:trPr>
          <w:cantSplit w:val="false"/>
        </w:trPr>
        <w:tc>
          <w:tcPr>
            <w:tcW w:type="dxa" w:w="3989"/>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hAnsi="Times New Roman"/>
                <w:sz w:val="28"/>
                <w:szCs w:val="28"/>
              </w:rPr>
              <w:t xml:space="preserve">На території нашого району </w:t>
            </w:r>
            <w:r>
              <w:rPr>
                <w:rFonts w:ascii="Times New Roman" w:cs="Times New Roman" w:eastAsia="TimesNewRomanPS-BoldMT" w:hAnsi="Times New Roman"/>
                <w:sz w:val="28"/>
                <w:szCs w:val="28"/>
              </w:rPr>
              <w:t xml:space="preserve">профільні громадські організації у вирішенні питань безпеки життєдіяльності </w:t>
            </w:r>
            <w:r>
              <w:rPr>
                <w:rFonts w:ascii="Times New Roman" w:cs="Times New Roman" w:hAnsi="Times New Roman"/>
                <w:sz w:val="28"/>
                <w:szCs w:val="28"/>
              </w:rPr>
              <w:t>відсутні</w:t>
            </w:r>
          </w:p>
        </w:tc>
        <w:tc>
          <w:tcPr>
            <w:tcW w:type="dxa" w:w="3990"/>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w:t>
            </w:r>
          </w:p>
        </w:tc>
        <w:tc>
          <w:tcPr>
            <w:tcW w:type="dxa" w:w="3989"/>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w:t>
            </w:r>
          </w:p>
        </w:tc>
        <w:tc>
          <w:tcPr>
            <w:tcW w:type="dxa" w:w="3990"/>
            <w:tcBorders>
              <w:top w:color="00000A" w:space="0" w:sz="4" w:val="single"/>
              <w:left w:color="00000A" w:space="0" w:sz="4" w:val="single"/>
              <w:bottom w:color="00000A" w:space="0" w:sz="4" w:val="single"/>
              <w:right w:color="00000A" w:space="0" w:sz="4" w:val="single"/>
            </w:tcBorders>
            <w:shd w:fill="FFFFFF" w:val="clear"/>
            <w:tcMar>
              <w:top w:type="dxa" w:w="0"/>
              <w:left w:type="dxa" w:w="108"/>
              <w:bottom w:type="dxa" w:w="0"/>
              <w:right w:type="dxa" w:w="108"/>
            </w:tcMar>
          </w:tcPr>
          <w:p>
            <w:pPr>
              <w:pStyle w:val="style0"/>
              <w:widowControl/>
              <w:spacing w:after="200" w:before="0" w:line="276" w:lineRule="auto"/>
              <w:contextualSpacing w:val="false"/>
            </w:pPr>
            <w:r>
              <w:rPr>
                <w:rFonts w:ascii="Times New Roman" w:cs="Times New Roman" w:eastAsia="TimesNewRomanPS-BoldMT" w:hAnsi="Times New Roman"/>
                <w:sz w:val="28"/>
                <w:szCs w:val="28"/>
              </w:rPr>
              <w:t>-</w:t>
            </w:r>
          </w:p>
        </w:tc>
      </w:tr>
    </w:tbl>
    <w:p>
      <w:pPr>
        <w:pStyle w:val="style0"/>
      </w:pPr>
      <w:r>
        <w:rPr/>
      </w:r>
    </w:p>
    <w:p>
      <w:pPr>
        <w:pStyle w:val="style0"/>
      </w:pPr>
      <w:r>
        <w:rPr/>
      </w:r>
    </w:p>
    <w:p>
      <w:pPr>
        <w:pStyle w:val="style0"/>
        <w:jc w:val="center"/>
      </w:pPr>
      <w:r>
        <w:rPr/>
      </w:r>
    </w:p>
    <w:p>
      <w:pPr>
        <w:pStyle w:val="style0"/>
        <w:jc w:val="center"/>
      </w:pPr>
      <w:r>
        <w:rPr>
          <w:rFonts w:ascii="Times New Roman" w:cs="Times New Roman" w:eastAsia="TimesNewRomanPS-BoldMT" w:hAnsi="Times New Roman"/>
          <w:sz w:val="28"/>
          <w:szCs w:val="28"/>
        </w:rPr>
        <w:t xml:space="preserve">          </w:t>
      </w:r>
      <w:r>
        <w:rPr>
          <w:rFonts w:ascii="Times New Roman" w:cs="Times New Roman" w:eastAsia="TimesNewRomanPS-BoldMT" w:hAnsi="Times New Roman"/>
          <w:sz w:val="28"/>
          <w:szCs w:val="28"/>
        </w:rPr>
        <w:t>____________________________________</w:t>
      </w:r>
    </w:p>
    <w:p>
      <w:pPr>
        <w:pStyle w:val="style0"/>
        <w:spacing w:after="200" w:before="0"/>
        <w:contextualSpacing w:val="false"/>
      </w:pPr>
      <w:r>
        <w:rPr/>
        <w:t xml:space="preserve"> </w:t>
      </w:r>
    </w:p>
    <w:sectPr>
      <w:type w:val="nextPage"/>
      <w:pgSz w:h="11906" w:orient="landscape" w:w="16838"/>
      <w:pgMar w:bottom="851" w:footer="0" w:gutter="0" w:header="0" w:left="851" w:right="851" w:top="1418"/>
      <w:pgNumType w:fmt="decimal"/>
      <w:formProt w:val="false"/>
      <w:textDirection w:val="lrTb"/>
      <w:docGrid w:charSpace="8192" w:linePitch="360" w:type="default"/>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Times New Roman">
    <w:charset w:val="cc"/>
    <w:family w:val="roman"/>
    <w:pitch w:val="variable"/>
  </w:font>
</w:fonts>
</file>

<file path=word/numbering.xml><?xml version="1.0" encoding="utf-8"?>
<w:numbering xmlns:w="http://schemas.openxmlformats.org/wordprocessingml/2006/main">
  <w:abstractNum w:abstractNumId="1">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1"/>
  </w:num>
</w:numbering>
</file>

<file path=word/settings.xml><?xml version="1.0" encoding="utf-8"?>
<w:settings xmlns:w="http://schemas.openxmlformats.org/wordprocessingml/2006/main">
  <w:zoom w:percent="75"/>
</w:settings>
</file>

<file path=word/styles.xml><?xml version="1.0" encoding="utf-8"?>
<w:styles xmlns:w="http://schemas.openxmlformats.org/wordprocessingml/2006/main">
  <w:style w:styleId="style0" w:type="paragraph">
    <w:name w:val="Базовый"/>
    <w:next w:val="style0"/>
    <w:pPr>
      <w:widowControl/>
      <w:tabs/>
      <w:suppressAutoHyphens w:val="true"/>
      <w:spacing w:after="200" w:before="0" w:line="276" w:lineRule="auto"/>
      <w:contextualSpacing w:val="false"/>
    </w:pPr>
    <w:rPr>
      <w:rFonts w:ascii="Calibri" w:cs="Calibri" w:eastAsia="Times New Roman" w:hAnsi="Calibri"/>
      <w:color w:val="00000A"/>
      <w:sz w:val="22"/>
      <w:szCs w:val="22"/>
      <w:lang w:bidi="ar-SA" w:eastAsia="uk-UA" w:val="uk-UA"/>
    </w:rPr>
  </w:style>
  <w:style w:styleId="style1" w:type="paragraph">
    <w:name w:val="Заголовок 1"/>
    <w:basedOn w:val="style0"/>
    <w:next w:val="style21"/>
    <w:pPr>
      <w:keepNext/>
      <w:keepLines/>
      <w:numPr>
        <w:ilvl w:val="0"/>
        <w:numId w:val="1"/>
      </w:numPr>
      <w:spacing w:after="0" w:before="480"/>
      <w:contextualSpacing w:val="false"/>
      <w:outlineLvl w:val="0"/>
    </w:pPr>
    <w:rPr>
      <w:rFonts w:ascii="Cambria" w:cs="Cambria" w:hAnsi="Cambria"/>
      <w:b/>
      <w:bCs/>
      <w:color w:val="365F91"/>
      <w:sz w:val="28"/>
      <w:szCs w:val="28"/>
    </w:rPr>
  </w:style>
  <w:style w:styleId="style15" w:type="character">
    <w:name w:val="Default Paragraph Font"/>
    <w:next w:val="style15"/>
    <w:rPr/>
  </w:style>
  <w:style w:styleId="style16" w:type="character">
    <w:name w:val="Heading 1 Char"/>
    <w:basedOn w:val="style15"/>
    <w:next w:val="style16"/>
    <w:rPr>
      <w:rFonts w:ascii="Cambria" w:cs="Cambria" w:hAnsi="Cambria"/>
      <w:b/>
      <w:bCs/>
      <w:color w:val="365F91"/>
      <w:sz w:val="28"/>
      <w:szCs w:val="28"/>
    </w:rPr>
  </w:style>
  <w:style w:styleId="style17" w:type="character">
    <w:name w:val="HTML Preformatted Char"/>
    <w:basedOn w:val="style15"/>
    <w:next w:val="style17"/>
    <w:rPr>
      <w:rFonts w:ascii="Courier New" w:cs="Courier New" w:hAnsi="Courier New"/>
      <w:sz w:val="20"/>
      <w:szCs w:val="20"/>
      <w:lang w:eastAsia="ru-RU" w:val="ru-RU"/>
    </w:rPr>
  </w:style>
  <w:style w:styleId="style18" w:type="character">
    <w:name w:val="Body Text Indent 3 Char"/>
    <w:basedOn w:val="style15"/>
    <w:next w:val="style18"/>
    <w:rPr>
      <w:rFonts w:ascii="Calibri" w:cs="Calibri" w:hAnsi="Calibri"/>
      <w:sz w:val="16"/>
      <w:szCs w:val="16"/>
      <w:lang w:eastAsia="ru-RU"/>
    </w:rPr>
  </w:style>
  <w:style w:styleId="style19" w:type="character">
    <w:name w:val="Balloon Text Char"/>
    <w:basedOn w:val="style15"/>
    <w:next w:val="style19"/>
    <w:rPr>
      <w:rFonts w:ascii="Tahoma" w:cs="Tahoma" w:hAnsi="Tahoma"/>
      <w:sz w:val="16"/>
      <w:szCs w:val="16"/>
    </w:rPr>
  </w:style>
  <w:style w:styleId="style20" w:type="paragraph">
    <w:name w:val="Заголовок"/>
    <w:basedOn w:val="style0"/>
    <w:next w:val="style21"/>
    <w:pPr>
      <w:keepNext/>
      <w:spacing w:after="120" w:before="240"/>
      <w:contextualSpacing w:val="false"/>
    </w:pPr>
    <w:rPr>
      <w:rFonts w:ascii="Arial" w:cs="Mangal" w:eastAsia="Lucida Sans Unicode" w:hAnsi="Arial"/>
      <w:sz w:val="28"/>
      <w:szCs w:val="28"/>
    </w:rPr>
  </w:style>
  <w:style w:styleId="style21" w:type="paragraph">
    <w:name w:val="Основной текст"/>
    <w:basedOn w:val="style0"/>
    <w:next w:val="style21"/>
    <w:pPr>
      <w:spacing w:after="120" w:before="0"/>
      <w:contextualSpacing w:val="false"/>
    </w:pPr>
    <w:rPr/>
  </w:style>
  <w:style w:styleId="style22" w:type="paragraph">
    <w:name w:val="Список"/>
    <w:basedOn w:val="style21"/>
    <w:next w:val="style22"/>
    <w:pPr/>
    <w:rPr>
      <w:rFonts w:cs="Mangal"/>
    </w:rPr>
  </w:style>
  <w:style w:styleId="style23" w:type="paragraph">
    <w:name w:val="Название"/>
    <w:basedOn w:val="style0"/>
    <w:next w:val="style23"/>
    <w:pPr>
      <w:suppressLineNumbers/>
      <w:spacing w:after="120" w:before="120"/>
      <w:contextualSpacing w:val="false"/>
    </w:pPr>
    <w:rPr>
      <w:rFonts w:cs="Mangal"/>
      <w:i/>
      <w:iCs/>
      <w:sz w:val="24"/>
      <w:szCs w:val="24"/>
    </w:rPr>
  </w:style>
  <w:style w:styleId="style24" w:type="paragraph">
    <w:name w:val="Указатель"/>
    <w:basedOn w:val="style0"/>
    <w:next w:val="style24"/>
    <w:pPr>
      <w:suppressLineNumbers/>
    </w:pPr>
    <w:rPr>
      <w:rFonts w:cs="Mangal"/>
    </w:rPr>
  </w:style>
  <w:style w:styleId="style25" w:type="paragraph">
    <w:name w:val="HTML Preformatted"/>
    <w:basedOn w:val="style0"/>
    <w:next w:val="style25"/>
    <w:pPr>
      <w:tabs>
        <w:tab w:leader="none" w:pos="916" w:val="left"/>
        <w:tab w:leader="none" w:pos="1832" w:val="left"/>
        <w:tab w:leader="none" w:pos="2748" w:val="left"/>
        <w:tab w:leader="none" w:pos="3664" w:val="left"/>
        <w:tab w:leader="none" w:pos="4580" w:val="left"/>
        <w:tab w:leader="none" w:pos="5496" w:val="left"/>
        <w:tab w:leader="none" w:pos="6412" w:val="left"/>
        <w:tab w:leader="none" w:pos="7328" w:val="left"/>
        <w:tab w:leader="none" w:pos="8244" w:val="left"/>
        <w:tab w:leader="none" w:pos="9160" w:val="left"/>
        <w:tab w:leader="none" w:pos="10076" w:val="left"/>
        <w:tab w:leader="none" w:pos="10992" w:val="left"/>
        <w:tab w:leader="none" w:pos="11908" w:val="left"/>
        <w:tab w:leader="none" w:pos="12824" w:val="left"/>
        <w:tab w:leader="none" w:pos="13740" w:val="left"/>
        <w:tab w:leader="none" w:pos="14656" w:val="left"/>
      </w:tabs>
      <w:spacing w:after="0" w:before="0" w:line="100" w:lineRule="atLeast"/>
      <w:contextualSpacing w:val="false"/>
    </w:pPr>
    <w:rPr>
      <w:rFonts w:ascii="Courier New" w:cs="Courier New" w:hAnsi="Courier New"/>
      <w:sz w:val="20"/>
      <w:szCs w:val="20"/>
      <w:lang w:eastAsia="ru-RU" w:val="ru-RU"/>
    </w:rPr>
  </w:style>
  <w:style w:styleId="style26" w:type="paragraph">
    <w:name w:val="Body Text Indent 3"/>
    <w:basedOn w:val="style0"/>
    <w:next w:val="style26"/>
    <w:pPr>
      <w:spacing w:after="120" w:before="0" w:line="100" w:lineRule="atLeast"/>
      <w:ind w:hanging="0" w:left="283" w:right="0"/>
      <w:contextualSpacing w:val="false"/>
    </w:pPr>
    <w:rPr>
      <w:sz w:val="16"/>
      <w:szCs w:val="16"/>
      <w:lang w:eastAsia="ru-RU"/>
    </w:rPr>
  </w:style>
  <w:style w:styleId="style27" w:type="paragraph">
    <w:name w:val="No Spacing"/>
    <w:next w:val="style27"/>
    <w:pPr>
      <w:widowControl/>
      <w:tabs/>
      <w:suppressAutoHyphens w:val="true"/>
    </w:pPr>
    <w:rPr>
      <w:rFonts w:ascii="Calibri" w:cs="Calibri" w:eastAsia="Times New Roman" w:hAnsi="Calibri"/>
      <w:color w:val="00000A"/>
      <w:sz w:val="22"/>
      <w:szCs w:val="22"/>
      <w:lang w:bidi="ar-SA" w:eastAsia="uk-UA" w:val="uk-UA"/>
    </w:rPr>
  </w:style>
  <w:style w:styleId="style28" w:type="paragraph">
    <w:name w:val="Balloon Text"/>
    <w:basedOn w:val="style0"/>
    <w:next w:val="style28"/>
    <w:pPr>
      <w:spacing w:after="0" w:before="0" w:line="100" w:lineRule="atLeast"/>
      <w:contextualSpacing w:val="false"/>
    </w:pPr>
    <w:rPr>
      <w:rFonts w:ascii="Tahoma" w:cs="Tahoma" w:hAnsi="Tahoma"/>
      <w:sz w:val="16"/>
      <w:szCs w:val="16"/>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Normal_Wordconv</Template>
  <TotalTime>127</TotalTime>
  <Application>Microsoft Office Outlook</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2016-04-05T11:09:00.00Z</dcterms:created>
  <dc:creator>Адміністратор1</dc:creator>
  <cp:lastModifiedBy>Customer</cp:lastModifiedBy>
  <cp:lastPrinted>2016-04-18T13:25:31.41Z</cp:lastPrinted>
  <dcterms:modified xsi:type="dcterms:W3CDTF">2016-04-12T10:10:00.00Z</dcterms:modified>
  <cp:revision>15</cp:revision>
</cp:coreProperties>
</file>